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rPr>
          <w:sz w:val="60"/>
          <w:szCs w:val="60"/>
        </w:rPr>
      </w:sdtEndPr>
      <w:sdtContent>
        <w:p w14:paraId="2DF7B468" w14:textId="51057F4A" w:rsidR="000C1FB4" w:rsidRPr="002775A7" w:rsidRDefault="002775A7" w:rsidP="000C1FB4">
          <w:pPr>
            <w:jc w:val="left"/>
            <w:rPr>
              <w:b/>
              <w:bCs/>
              <w:i/>
              <w:iCs/>
              <w:color w:val="FFFFFF" w:themeColor="background1"/>
              <w:szCs w:val="28"/>
              <w:lang w:eastAsia="fr-FR"/>
            </w:rPr>
          </w:pPr>
          <w:r w:rsidRPr="002775A7">
            <w:rPr>
              <w:b/>
              <w:bCs/>
              <w:i/>
              <w:iCs/>
              <w:noProof/>
              <w:color w:val="FFFFFF" w:themeColor="background1"/>
              <w:szCs w:val="28"/>
              <w:lang w:eastAsia="fr-FR"/>
              <w14:ligatures w14:val="standardContextual"/>
            </w:rPr>
            <mc:AlternateContent>
              <mc:Choice Requires="wps">
                <w:drawing>
                  <wp:anchor distT="0" distB="0" distL="114300" distR="114300" simplePos="0" relativeHeight="251652096" behindDoc="1" locked="0" layoutInCell="1" allowOverlap="1" wp14:anchorId="5AF10855" wp14:editId="030486E9">
                    <wp:simplePos x="0" y="0"/>
                    <wp:positionH relativeFrom="column">
                      <wp:posOffset>-1219200</wp:posOffset>
                    </wp:positionH>
                    <wp:positionV relativeFrom="paragraph">
                      <wp:posOffset>-914400</wp:posOffset>
                    </wp:positionV>
                    <wp:extent cx="15392400" cy="10801350"/>
                    <wp:effectExtent l="0" t="0" r="19050" b="19050"/>
                    <wp:wrapNone/>
                    <wp:docPr id="537039463" name="Rectangle 4"/>
                    <wp:cNvGraphicFramePr/>
                    <a:graphic xmlns:a="http://schemas.openxmlformats.org/drawingml/2006/main">
                      <a:graphicData uri="http://schemas.microsoft.com/office/word/2010/wordprocessingShape">
                        <wps:wsp>
                          <wps:cNvSpPr/>
                          <wps:spPr>
                            <a:xfrm>
                              <a:off x="0" y="0"/>
                              <a:ext cx="15392400" cy="108013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1367F9" id="Rectangle 4" o:spid="_x0000_s1026" style="position:absolute;margin-left:-96pt;margin-top:-1in;width:1212pt;height:850.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" fillcolor="#2f5496 [2404]" strokecolor="#09101d [484]" strokeweight="1pt"/>
                </w:pict>
              </mc:Fallback>
            </mc:AlternateContent>
          </w:r>
          <w:r w:rsidR="000C1FB4" w:rsidRPr="002775A7">
            <w:rPr>
              <w:b/>
              <w:bCs/>
              <w:i/>
              <w:iCs/>
              <w:color w:val="FFFFFF" w:themeColor="background1"/>
              <w:szCs w:val="28"/>
              <w:lang w:eastAsia="fr-FR"/>
            </w:rPr>
            <w:t>Module 1 : Audit de la situation juridique des personnes et des biens et stratégies patrimoniales civiles</w:t>
          </w:r>
        </w:p>
        <w:p w14:paraId="7A2FCF04" w14:textId="77777777" w:rsidR="004F1E48" w:rsidRPr="00C21566" w:rsidRDefault="004F1E48" w:rsidP="004F1E48">
          <w:pPr>
            <w:jc w:val="left"/>
            <w:rPr>
              <w:b/>
              <w:bCs/>
              <w:i/>
              <w:iCs/>
              <w:color w:val="FFFFFF" w:themeColor="background1"/>
              <w:szCs w:val="28"/>
              <w:lang w:eastAsia="fr-FR"/>
            </w:rPr>
          </w:pPr>
          <w:r w:rsidRPr="00C21566">
            <w:rPr>
              <w:b/>
              <w:bCs/>
              <w:i/>
              <w:iCs/>
              <w:color w:val="FFFFFF" w:themeColor="background1"/>
              <w:szCs w:val="28"/>
              <w:lang w:eastAsia="fr-FR"/>
            </w:rPr>
            <w:t xml:space="preserve">Leçon </w:t>
          </w:r>
          <w:r>
            <w:rPr>
              <w:b/>
              <w:bCs/>
              <w:i/>
              <w:iCs/>
              <w:color w:val="FFFFFF" w:themeColor="background1"/>
              <w:szCs w:val="28"/>
              <w:lang w:eastAsia="fr-FR"/>
            </w:rPr>
            <w:t>3</w:t>
          </w:r>
          <w:r w:rsidRPr="00C21566">
            <w:rPr>
              <w:b/>
              <w:bCs/>
              <w:i/>
              <w:iCs/>
              <w:color w:val="FFFFFF" w:themeColor="background1"/>
              <w:szCs w:val="28"/>
              <w:lang w:eastAsia="fr-FR"/>
            </w:rPr>
            <w:t xml:space="preserve"> : </w:t>
          </w:r>
          <w:r>
            <w:rPr>
              <w:b/>
              <w:bCs/>
              <w:i/>
              <w:iCs/>
              <w:color w:val="FFFFFF" w:themeColor="background1"/>
              <w:szCs w:val="28"/>
              <w:lang w:eastAsia="fr-FR"/>
            </w:rPr>
            <w:t>Aspects patrimoniaux d</w:t>
          </w:r>
          <w:r w:rsidRPr="00C21566">
            <w:rPr>
              <w:b/>
              <w:bCs/>
              <w:i/>
              <w:iCs/>
              <w:color w:val="FFFFFF" w:themeColor="background1"/>
              <w:szCs w:val="28"/>
              <w:lang w:eastAsia="fr-FR"/>
            </w:rPr>
            <w:t xml:space="preserve">es modes de conjugalité́ et </w:t>
          </w:r>
          <w:r>
            <w:rPr>
              <w:b/>
              <w:bCs/>
              <w:i/>
              <w:iCs/>
              <w:color w:val="FFFFFF" w:themeColor="background1"/>
              <w:szCs w:val="28"/>
              <w:lang w:eastAsia="fr-FR"/>
            </w:rPr>
            <w:t>de l’adoption</w:t>
          </w:r>
        </w:p>
        <w:p w14:paraId="3C98E883" w14:textId="44F6B3D2" w:rsidR="000C1FB4" w:rsidRPr="002775A7" w:rsidRDefault="004F1E48" w:rsidP="000C1FB4">
          <w:pPr>
            <w:pStyle w:val="CGPC-elearning"/>
            <w:rPr>
              <w:color w:val="FFFFFF" w:themeColor="background1"/>
              <w:lang w:eastAsia="fr-FR"/>
            </w:rPr>
          </w:pPr>
          <w:r>
            <w:rPr>
              <w:color w:val="FFFFFF" w:themeColor="background1"/>
              <w:lang w:eastAsia="fr-FR"/>
            </w:rPr>
            <w:t xml:space="preserve"> </w:t>
          </w:r>
        </w:p>
        <w:p w14:paraId="56BBCD8E" w14:textId="77777777" w:rsidR="000C1FB4" w:rsidRPr="002775A7" w:rsidRDefault="000C1FB4" w:rsidP="000C1FB4">
          <w:pPr>
            <w:pStyle w:val="CGPC-elearning"/>
            <w:rPr>
              <w:color w:val="FFFFFF" w:themeColor="background1"/>
              <w:lang w:eastAsia="fr-FR"/>
            </w:rPr>
          </w:pPr>
        </w:p>
        <w:p w14:paraId="3C835EC2" w14:textId="77777777" w:rsidR="000C1FB4" w:rsidRPr="002775A7" w:rsidRDefault="000C1FB4" w:rsidP="000C1FB4">
          <w:pPr>
            <w:pStyle w:val="CGPC-elearning"/>
            <w:rPr>
              <w:color w:val="FFFFFF" w:themeColor="background1"/>
              <w:lang w:eastAsia="fr-FR"/>
            </w:rPr>
          </w:pPr>
        </w:p>
        <w:p w14:paraId="53B8812A" w14:textId="77777777" w:rsidR="000C1FB4" w:rsidRPr="002775A7" w:rsidRDefault="000C1FB4" w:rsidP="000C1FB4">
          <w:pPr>
            <w:pStyle w:val="CGPC-elearning"/>
            <w:rPr>
              <w:color w:val="FFFFFF" w:themeColor="background1"/>
              <w:lang w:eastAsia="fr-FR"/>
            </w:rPr>
          </w:pPr>
        </w:p>
        <w:p w14:paraId="7EADDBEF" w14:textId="77777777" w:rsidR="000C1FB4" w:rsidRPr="002775A7" w:rsidRDefault="000C1FB4" w:rsidP="000C1FB4">
          <w:pPr>
            <w:pStyle w:val="CGPC-elearning"/>
            <w:rPr>
              <w:color w:val="FFFFFF" w:themeColor="background1"/>
              <w:lang w:eastAsia="fr-FR"/>
            </w:rPr>
          </w:pPr>
        </w:p>
        <w:p w14:paraId="71953790" w14:textId="77777777" w:rsidR="000C1FB4" w:rsidRPr="002775A7" w:rsidRDefault="000C1FB4" w:rsidP="000C1FB4">
          <w:pPr>
            <w:pStyle w:val="CGPC-elearning"/>
            <w:rPr>
              <w:color w:val="FFFFFF" w:themeColor="background1"/>
              <w:lang w:eastAsia="fr-FR"/>
            </w:rPr>
          </w:pPr>
        </w:p>
        <w:p w14:paraId="770A281D" w14:textId="77777777" w:rsidR="000C1FB4" w:rsidRPr="002775A7" w:rsidRDefault="000C1FB4" w:rsidP="000C1FB4">
          <w:pPr>
            <w:pStyle w:val="CGPC-elearning"/>
            <w:rPr>
              <w:color w:val="FFFFFF" w:themeColor="background1"/>
              <w:lang w:eastAsia="fr-FR"/>
            </w:rPr>
          </w:pPr>
        </w:p>
        <w:p w14:paraId="51B4283B" w14:textId="77777777" w:rsidR="000C1FB4" w:rsidRPr="002775A7" w:rsidRDefault="000C1FB4" w:rsidP="000C1FB4">
          <w:pPr>
            <w:pStyle w:val="CGPC-elearning"/>
            <w:rPr>
              <w:color w:val="FFFFFF" w:themeColor="background1"/>
              <w:lang w:eastAsia="fr-FR"/>
            </w:rPr>
          </w:pPr>
        </w:p>
        <w:p w14:paraId="2CE90532" w14:textId="77777777" w:rsidR="000C1FB4" w:rsidRPr="002775A7" w:rsidRDefault="000C1FB4" w:rsidP="000C1FB4">
          <w:pPr>
            <w:pStyle w:val="CGPC-elearning"/>
            <w:rPr>
              <w:color w:val="FFFFFF" w:themeColor="background1"/>
              <w:lang w:eastAsia="fr-FR"/>
            </w:rPr>
          </w:pPr>
        </w:p>
        <w:p w14:paraId="43E30A0D" w14:textId="50C61D91" w:rsidR="00677448" w:rsidRPr="000C1FB4" w:rsidRDefault="000C1FB4" w:rsidP="000C1FB4">
          <w:pPr>
            <w:jc w:val="left"/>
            <w:rPr>
              <w:sz w:val="60"/>
              <w:szCs w:val="60"/>
              <w:lang w:eastAsia="fr-FR"/>
            </w:rPr>
          </w:pPr>
          <w:r w:rsidRPr="002775A7">
            <w:rPr>
              <w:b/>
              <w:bCs/>
              <w:color w:val="FFFFFF" w:themeColor="background1"/>
              <w:sz w:val="60"/>
              <w:szCs w:val="60"/>
              <w:lang w:eastAsia="fr-FR"/>
            </w:rPr>
            <w:t xml:space="preserve">Chapitre 6 : De l’action sur le régime matrimonial dans une logique patrimoniale </w:t>
          </w:r>
          <w:r w:rsidR="00677448" w:rsidRPr="000C1FB4">
            <w:rPr>
              <w:b/>
              <w:bCs/>
              <w:sz w:val="60"/>
              <w:szCs w:val="60"/>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16D46B70" w14:textId="1806780A" w:rsidR="00060013" w:rsidRDefault="00B8067C">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5501035" w:history="1">
            <w:r w:rsidR="00060013" w:rsidRPr="00314CC3">
              <w:rPr>
                <w:rStyle w:val="Lienhypertexte"/>
                <w:noProof/>
              </w:rPr>
              <w:t>I.</w:t>
            </w:r>
            <w:r w:rsidR="00060013">
              <w:rPr>
                <w:rFonts w:asciiTheme="minorHAnsi" w:eastAsiaTheme="minorEastAsia" w:hAnsiTheme="minorHAnsi"/>
                <w:noProof/>
                <w:kern w:val="2"/>
                <w:sz w:val="24"/>
                <w:szCs w:val="24"/>
                <w:lang w:val="en-US"/>
                <w14:ligatures w14:val="standardContextual"/>
              </w:rPr>
              <w:tab/>
            </w:r>
            <w:r w:rsidR="00060013" w:rsidRPr="00314CC3">
              <w:rPr>
                <w:rStyle w:val="Lienhypertexte"/>
                <w:noProof/>
              </w:rPr>
              <w:t>Le changement de régime matrimonial</w:t>
            </w:r>
            <w:r w:rsidR="00060013">
              <w:rPr>
                <w:noProof/>
                <w:webHidden/>
              </w:rPr>
              <w:tab/>
            </w:r>
            <w:r w:rsidR="00060013">
              <w:rPr>
                <w:noProof/>
                <w:webHidden/>
              </w:rPr>
              <w:fldChar w:fldCharType="begin"/>
            </w:r>
            <w:r w:rsidR="00060013">
              <w:rPr>
                <w:noProof/>
                <w:webHidden/>
              </w:rPr>
              <w:instrText xml:space="preserve"> PAGEREF _Toc185501035 \h </w:instrText>
            </w:r>
            <w:r w:rsidR="00060013">
              <w:rPr>
                <w:noProof/>
                <w:webHidden/>
              </w:rPr>
            </w:r>
            <w:r w:rsidR="00060013">
              <w:rPr>
                <w:noProof/>
                <w:webHidden/>
              </w:rPr>
              <w:fldChar w:fldCharType="separate"/>
            </w:r>
            <w:r w:rsidR="00060013">
              <w:rPr>
                <w:noProof/>
                <w:webHidden/>
              </w:rPr>
              <w:t>2</w:t>
            </w:r>
            <w:r w:rsidR="00060013">
              <w:rPr>
                <w:noProof/>
                <w:webHidden/>
              </w:rPr>
              <w:fldChar w:fldCharType="end"/>
            </w:r>
          </w:hyperlink>
        </w:p>
        <w:p w14:paraId="6E2A74B6" w14:textId="67C69003" w:rsidR="00060013" w:rsidRDefault="00060013">
          <w:pPr>
            <w:pStyle w:val="TM3"/>
            <w:rPr>
              <w:rFonts w:asciiTheme="minorHAnsi" w:eastAsiaTheme="minorEastAsia" w:hAnsiTheme="minorHAnsi"/>
              <w:noProof/>
              <w:kern w:val="2"/>
              <w:sz w:val="24"/>
              <w:szCs w:val="24"/>
              <w:lang w:val="en-US"/>
              <w14:ligatures w14:val="standardContextual"/>
            </w:rPr>
          </w:pPr>
          <w:hyperlink w:anchor="_Toc185501036" w:history="1">
            <w:r w:rsidRPr="00314CC3">
              <w:rPr>
                <w:rStyle w:val="Lienhypertexte"/>
                <w:noProof/>
              </w:rPr>
              <w:t>1.</w:t>
            </w:r>
            <w:r>
              <w:rPr>
                <w:rFonts w:asciiTheme="minorHAnsi" w:eastAsiaTheme="minorEastAsia" w:hAnsiTheme="minorHAnsi"/>
                <w:noProof/>
                <w:kern w:val="2"/>
                <w:sz w:val="24"/>
                <w:szCs w:val="24"/>
                <w:lang w:val="en-US"/>
                <w14:ligatures w14:val="standardContextual"/>
              </w:rPr>
              <w:tab/>
            </w:r>
            <w:r w:rsidRPr="00314CC3">
              <w:rPr>
                <w:rStyle w:val="Lienhypertexte"/>
                <w:noProof/>
              </w:rPr>
              <w:t>La modification du contrat de mariage</w:t>
            </w:r>
            <w:r>
              <w:rPr>
                <w:noProof/>
                <w:webHidden/>
              </w:rPr>
              <w:tab/>
            </w:r>
            <w:r>
              <w:rPr>
                <w:noProof/>
                <w:webHidden/>
              </w:rPr>
              <w:fldChar w:fldCharType="begin"/>
            </w:r>
            <w:r>
              <w:rPr>
                <w:noProof/>
                <w:webHidden/>
              </w:rPr>
              <w:instrText xml:space="preserve"> PAGEREF _Toc185501036 \h </w:instrText>
            </w:r>
            <w:r>
              <w:rPr>
                <w:noProof/>
                <w:webHidden/>
              </w:rPr>
            </w:r>
            <w:r>
              <w:rPr>
                <w:noProof/>
                <w:webHidden/>
              </w:rPr>
              <w:fldChar w:fldCharType="separate"/>
            </w:r>
            <w:r>
              <w:rPr>
                <w:noProof/>
                <w:webHidden/>
              </w:rPr>
              <w:t>3</w:t>
            </w:r>
            <w:r>
              <w:rPr>
                <w:noProof/>
                <w:webHidden/>
              </w:rPr>
              <w:fldChar w:fldCharType="end"/>
            </w:r>
          </w:hyperlink>
        </w:p>
        <w:p w14:paraId="6DCC5FD4" w14:textId="0A625B6A" w:rsidR="00060013" w:rsidRDefault="00060013">
          <w:pPr>
            <w:pStyle w:val="TM3"/>
            <w:rPr>
              <w:rFonts w:asciiTheme="minorHAnsi" w:eastAsiaTheme="minorEastAsia" w:hAnsiTheme="minorHAnsi"/>
              <w:noProof/>
              <w:kern w:val="2"/>
              <w:sz w:val="24"/>
              <w:szCs w:val="24"/>
              <w:lang w:val="en-US"/>
              <w14:ligatures w14:val="standardContextual"/>
            </w:rPr>
          </w:pPr>
          <w:hyperlink w:anchor="_Toc185501037" w:history="1">
            <w:r w:rsidRPr="00314CC3">
              <w:rPr>
                <w:rStyle w:val="Lienhypertexte"/>
                <w:noProof/>
              </w:rPr>
              <w:t>2.</w:t>
            </w:r>
            <w:r>
              <w:rPr>
                <w:rFonts w:asciiTheme="minorHAnsi" w:eastAsiaTheme="minorEastAsia" w:hAnsiTheme="minorHAnsi"/>
                <w:noProof/>
                <w:kern w:val="2"/>
                <w:sz w:val="24"/>
                <w:szCs w:val="24"/>
                <w:lang w:val="en-US"/>
                <w14:ligatures w14:val="standardContextual"/>
              </w:rPr>
              <w:tab/>
            </w:r>
            <w:r w:rsidRPr="00314CC3">
              <w:rPr>
                <w:rStyle w:val="Lienhypertexte"/>
                <w:noProof/>
              </w:rPr>
              <w:t>Qui peut demander à modifier le régime matrimonial ?</w:t>
            </w:r>
            <w:r>
              <w:rPr>
                <w:noProof/>
                <w:webHidden/>
              </w:rPr>
              <w:tab/>
            </w:r>
            <w:r>
              <w:rPr>
                <w:noProof/>
                <w:webHidden/>
              </w:rPr>
              <w:fldChar w:fldCharType="begin"/>
            </w:r>
            <w:r>
              <w:rPr>
                <w:noProof/>
                <w:webHidden/>
              </w:rPr>
              <w:instrText xml:space="preserve"> PAGEREF _Toc185501037 \h </w:instrText>
            </w:r>
            <w:r>
              <w:rPr>
                <w:noProof/>
                <w:webHidden/>
              </w:rPr>
            </w:r>
            <w:r>
              <w:rPr>
                <w:noProof/>
                <w:webHidden/>
              </w:rPr>
              <w:fldChar w:fldCharType="separate"/>
            </w:r>
            <w:r>
              <w:rPr>
                <w:noProof/>
                <w:webHidden/>
              </w:rPr>
              <w:t>3</w:t>
            </w:r>
            <w:r>
              <w:rPr>
                <w:noProof/>
                <w:webHidden/>
              </w:rPr>
              <w:fldChar w:fldCharType="end"/>
            </w:r>
          </w:hyperlink>
        </w:p>
        <w:p w14:paraId="54852FA4" w14:textId="68078000" w:rsidR="00060013" w:rsidRDefault="00060013">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5501038" w:history="1">
            <w:r w:rsidRPr="00314CC3">
              <w:rPr>
                <w:rStyle w:val="Lienhypertexte"/>
                <w:noProof/>
              </w:rPr>
              <w:t>II.</w:t>
            </w:r>
            <w:r>
              <w:rPr>
                <w:rFonts w:asciiTheme="minorHAnsi" w:eastAsiaTheme="minorEastAsia" w:hAnsiTheme="minorHAnsi"/>
                <w:noProof/>
                <w:kern w:val="2"/>
                <w:sz w:val="24"/>
                <w:szCs w:val="24"/>
                <w:lang w:val="en-US"/>
                <w14:ligatures w14:val="standardContextual"/>
              </w:rPr>
              <w:tab/>
            </w:r>
            <w:r w:rsidRPr="00314CC3">
              <w:rPr>
                <w:rStyle w:val="Lienhypertexte"/>
                <w:noProof/>
              </w:rPr>
              <w:t>La protection du conjoint survivant par l’aménagement du régime matrimonial ou la création d’avantages matrimoniaux</w:t>
            </w:r>
            <w:r>
              <w:rPr>
                <w:noProof/>
                <w:webHidden/>
              </w:rPr>
              <w:tab/>
            </w:r>
            <w:r>
              <w:rPr>
                <w:noProof/>
                <w:webHidden/>
              </w:rPr>
              <w:fldChar w:fldCharType="begin"/>
            </w:r>
            <w:r>
              <w:rPr>
                <w:noProof/>
                <w:webHidden/>
              </w:rPr>
              <w:instrText xml:space="preserve"> PAGEREF _Toc185501038 \h </w:instrText>
            </w:r>
            <w:r>
              <w:rPr>
                <w:noProof/>
                <w:webHidden/>
              </w:rPr>
            </w:r>
            <w:r>
              <w:rPr>
                <w:noProof/>
                <w:webHidden/>
              </w:rPr>
              <w:fldChar w:fldCharType="separate"/>
            </w:r>
            <w:r>
              <w:rPr>
                <w:noProof/>
                <w:webHidden/>
              </w:rPr>
              <w:t>4</w:t>
            </w:r>
            <w:r>
              <w:rPr>
                <w:noProof/>
                <w:webHidden/>
              </w:rPr>
              <w:fldChar w:fldCharType="end"/>
            </w:r>
          </w:hyperlink>
        </w:p>
        <w:p w14:paraId="14818883" w14:textId="2D7405F0" w:rsidR="00060013" w:rsidRDefault="00060013">
          <w:pPr>
            <w:pStyle w:val="TM3"/>
            <w:rPr>
              <w:rFonts w:asciiTheme="minorHAnsi" w:eastAsiaTheme="minorEastAsia" w:hAnsiTheme="minorHAnsi"/>
              <w:noProof/>
              <w:kern w:val="2"/>
              <w:sz w:val="24"/>
              <w:szCs w:val="24"/>
              <w:lang w:val="en-US"/>
              <w14:ligatures w14:val="standardContextual"/>
            </w:rPr>
          </w:pPr>
          <w:hyperlink w:anchor="_Toc185501039" w:history="1">
            <w:r w:rsidRPr="00314CC3">
              <w:rPr>
                <w:rStyle w:val="Lienhypertexte"/>
                <w:noProof/>
              </w:rPr>
              <w:t>1.</w:t>
            </w:r>
            <w:r>
              <w:rPr>
                <w:rFonts w:asciiTheme="minorHAnsi" w:eastAsiaTheme="minorEastAsia" w:hAnsiTheme="minorHAnsi"/>
                <w:noProof/>
                <w:kern w:val="2"/>
                <w:sz w:val="24"/>
                <w:szCs w:val="24"/>
                <w:lang w:val="en-US"/>
                <w14:ligatures w14:val="standardContextual"/>
              </w:rPr>
              <w:tab/>
            </w:r>
            <w:r w:rsidRPr="00314CC3">
              <w:rPr>
                <w:rStyle w:val="Lienhypertexte"/>
                <w:noProof/>
              </w:rPr>
              <w:t>Clause de préciput, clause d’exclusion du bien professionnel, clause d’attribution de la communauté</w:t>
            </w:r>
            <w:r>
              <w:rPr>
                <w:noProof/>
                <w:webHidden/>
              </w:rPr>
              <w:tab/>
            </w:r>
            <w:r>
              <w:rPr>
                <w:noProof/>
                <w:webHidden/>
              </w:rPr>
              <w:fldChar w:fldCharType="begin"/>
            </w:r>
            <w:r>
              <w:rPr>
                <w:noProof/>
                <w:webHidden/>
              </w:rPr>
              <w:instrText xml:space="preserve"> PAGEREF _Toc185501039 \h </w:instrText>
            </w:r>
            <w:r>
              <w:rPr>
                <w:noProof/>
                <w:webHidden/>
              </w:rPr>
            </w:r>
            <w:r>
              <w:rPr>
                <w:noProof/>
                <w:webHidden/>
              </w:rPr>
              <w:fldChar w:fldCharType="separate"/>
            </w:r>
            <w:r>
              <w:rPr>
                <w:noProof/>
                <w:webHidden/>
              </w:rPr>
              <w:t>6</w:t>
            </w:r>
            <w:r>
              <w:rPr>
                <w:noProof/>
                <w:webHidden/>
              </w:rPr>
              <w:fldChar w:fldCharType="end"/>
            </w:r>
          </w:hyperlink>
        </w:p>
        <w:p w14:paraId="485ECC93" w14:textId="2C4AEBEA" w:rsidR="00060013" w:rsidRDefault="00060013">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1040" w:history="1">
            <w:r w:rsidRPr="00314CC3">
              <w:rPr>
                <w:rStyle w:val="Lienhypertexte"/>
                <w:noProof/>
              </w:rPr>
              <w:t>III.</w:t>
            </w:r>
            <w:r>
              <w:rPr>
                <w:rFonts w:asciiTheme="minorHAnsi" w:eastAsiaTheme="minorEastAsia" w:hAnsiTheme="minorHAnsi"/>
                <w:noProof/>
                <w:kern w:val="2"/>
                <w:sz w:val="24"/>
                <w:szCs w:val="24"/>
                <w:lang w:val="en-US"/>
                <w14:ligatures w14:val="standardContextual"/>
              </w:rPr>
              <w:tab/>
            </w:r>
            <w:r w:rsidRPr="00314CC3">
              <w:rPr>
                <w:rStyle w:val="Lienhypertexte"/>
                <w:noProof/>
              </w:rPr>
              <w:t>Compréhension des enjeux liés à l’extranéité pour bien diriger vers un professionnel du droit</w:t>
            </w:r>
            <w:r>
              <w:rPr>
                <w:noProof/>
                <w:webHidden/>
              </w:rPr>
              <w:tab/>
            </w:r>
            <w:r>
              <w:rPr>
                <w:noProof/>
                <w:webHidden/>
              </w:rPr>
              <w:fldChar w:fldCharType="begin"/>
            </w:r>
            <w:r>
              <w:rPr>
                <w:noProof/>
                <w:webHidden/>
              </w:rPr>
              <w:instrText xml:space="preserve"> PAGEREF _Toc185501040 \h </w:instrText>
            </w:r>
            <w:r>
              <w:rPr>
                <w:noProof/>
                <w:webHidden/>
              </w:rPr>
            </w:r>
            <w:r>
              <w:rPr>
                <w:noProof/>
                <w:webHidden/>
              </w:rPr>
              <w:fldChar w:fldCharType="separate"/>
            </w:r>
            <w:r>
              <w:rPr>
                <w:noProof/>
                <w:webHidden/>
              </w:rPr>
              <w:t>1</w:t>
            </w:r>
            <w:r>
              <w:rPr>
                <w:noProof/>
                <w:webHidden/>
              </w:rPr>
              <w:fldChar w:fldCharType="end"/>
            </w:r>
          </w:hyperlink>
        </w:p>
        <w:p w14:paraId="77DB0C13" w14:textId="6D1456ED" w:rsidR="00060013" w:rsidRDefault="00060013">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1041" w:history="1">
            <w:r w:rsidRPr="00314CC3">
              <w:rPr>
                <w:rStyle w:val="Lienhypertexte"/>
                <w:noProof/>
              </w:rPr>
              <w:t>IV.</w:t>
            </w:r>
            <w:r>
              <w:rPr>
                <w:rFonts w:asciiTheme="minorHAnsi" w:eastAsiaTheme="minorEastAsia" w:hAnsiTheme="minorHAnsi"/>
                <w:noProof/>
                <w:kern w:val="2"/>
                <w:sz w:val="24"/>
                <w:szCs w:val="24"/>
                <w:lang w:val="en-US"/>
                <w14:ligatures w14:val="standardContextual"/>
              </w:rPr>
              <w:tab/>
            </w:r>
            <w:r w:rsidRPr="00314CC3">
              <w:rPr>
                <w:rStyle w:val="Lienhypertexte"/>
                <w:noProof/>
              </w:rPr>
              <w:t>Adhésion individuelle vs. Co-adhésion pour une assurance-vie</w:t>
            </w:r>
            <w:r>
              <w:rPr>
                <w:noProof/>
                <w:webHidden/>
              </w:rPr>
              <w:tab/>
            </w:r>
            <w:r>
              <w:rPr>
                <w:noProof/>
                <w:webHidden/>
              </w:rPr>
              <w:fldChar w:fldCharType="begin"/>
            </w:r>
            <w:r>
              <w:rPr>
                <w:noProof/>
                <w:webHidden/>
              </w:rPr>
              <w:instrText xml:space="preserve"> PAGEREF _Toc185501041 \h </w:instrText>
            </w:r>
            <w:r>
              <w:rPr>
                <w:noProof/>
                <w:webHidden/>
              </w:rPr>
            </w:r>
            <w:r>
              <w:rPr>
                <w:noProof/>
                <w:webHidden/>
              </w:rPr>
              <w:fldChar w:fldCharType="separate"/>
            </w:r>
            <w:r>
              <w:rPr>
                <w:noProof/>
                <w:webHidden/>
              </w:rPr>
              <w:t>0</w:t>
            </w:r>
            <w:r>
              <w:rPr>
                <w:noProof/>
                <w:webHidden/>
              </w:rPr>
              <w:fldChar w:fldCharType="end"/>
            </w:r>
          </w:hyperlink>
        </w:p>
        <w:p w14:paraId="76D52D41" w14:textId="296B2B97" w:rsidR="00B8067C" w:rsidRDefault="00B8067C">
          <w:r>
            <w:rPr>
              <w:b/>
              <w:bCs/>
              <w:noProof/>
            </w:rPr>
            <w:fldChar w:fldCharType="end"/>
          </w:r>
        </w:p>
      </w:sdtContent>
    </w:sdt>
    <w:p w14:paraId="195FC356" w14:textId="15EB170F" w:rsidR="00B8067C" w:rsidRDefault="00B8067C"/>
    <w:p w14:paraId="2A0CDF22" w14:textId="2DBC37C8" w:rsidR="000C1FB4" w:rsidRDefault="00B42117" w:rsidP="000C1FB4">
      <w:r>
        <w:rPr>
          <w:rFonts w:eastAsia="Times New Roman"/>
          <w:color w:val="2F5496" w:themeColor="accent1" w:themeShade="BF"/>
          <w:lang w:eastAsia="fr-FR"/>
        </w:rPr>
        <w:br w:type="page"/>
      </w:r>
      <w:r w:rsidR="002775A7">
        <w:rPr>
          <w:noProof/>
          <w14:ligatures w14:val="standardContextual"/>
        </w:rPr>
        <w:lastRenderedPageBreak/>
        <mc:AlternateContent>
          <mc:Choice Requires="wps">
            <w:drawing>
              <wp:anchor distT="0" distB="0" distL="114300" distR="114300" simplePos="0" relativeHeight="251653120" behindDoc="1" locked="0" layoutInCell="1" allowOverlap="1" wp14:anchorId="28B4BA17" wp14:editId="44E73C06">
                <wp:simplePos x="0" y="0"/>
                <wp:positionH relativeFrom="column">
                  <wp:posOffset>-914400</wp:posOffset>
                </wp:positionH>
                <wp:positionV relativeFrom="paragraph">
                  <wp:posOffset>-895350</wp:posOffset>
                </wp:positionV>
                <wp:extent cx="15087600" cy="10687050"/>
                <wp:effectExtent l="0" t="0" r="19050" b="19050"/>
                <wp:wrapNone/>
                <wp:docPr id="1114893899" name="Rectangle 5"/>
                <wp:cNvGraphicFramePr/>
                <a:graphic xmlns:a="http://schemas.openxmlformats.org/drawingml/2006/main">
                  <a:graphicData uri="http://schemas.microsoft.com/office/word/2010/wordprocessingShape">
                    <wps:wsp>
                      <wps:cNvSpPr/>
                      <wps:spPr>
                        <a:xfrm>
                          <a:off x="0" y="0"/>
                          <a:ext cx="15087600" cy="106870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A37973" id="Rectangle 5" o:spid="_x0000_s1026" style="position:absolute;margin-left:-1in;margin-top:-70.5pt;width:1188pt;height:84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" fillcolor="#2f5496 [2404]" strokecolor="#09101d [484]" strokeweight="1pt"/>
            </w:pict>
          </mc:Fallback>
        </mc:AlternateContent>
      </w:r>
      <w:r w:rsidR="006325C6" w:rsidRPr="000C1FB4">
        <w:t xml:space="preserve"> </w:t>
      </w:r>
    </w:p>
    <w:p w14:paraId="7B04C6DD" w14:textId="77777777" w:rsidR="000C1FB4" w:rsidRDefault="000C1FB4" w:rsidP="000C1FB4"/>
    <w:p w14:paraId="2B24FF04" w14:textId="77777777" w:rsidR="000C1FB4" w:rsidRDefault="000C1FB4" w:rsidP="000C1FB4"/>
    <w:p w14:paraId="5E95C157" w14:textId="77777777" w:rsidR="000C1FB4" w:rsidRDefault="000C1FB4" w:rsidP="000C1FB4"/>
    <w:p w14:paraId="21C9933A" w14:textId="77777777" w:rsidR="000C1FB4" w:rsidRDefault="000C1FB4" w:rsidP="000C1FB4"/>
    <w:p w14:paraId="29C8EF23" w14:textId="77777777" w:rsidR="000C1FB4" w:rsidRDefault="000C1FB4" w:rsidP="000C1FB4"/>
    <w:p w14:paraId="1775E407" w14:textId="77777777" w:rsidR="000C1FB4" w:rsidRDefault="000C1FB4" w:rsidP="000C1FB4"/>
    <w:p w14:paraId="0ED442ED" w14:textId="77777777" w:rsidR="000C1FB4" w:rsidRDefault="000C1FB4" w:rsidP="000C1FB4"/>
    <w:p w14:paraId="3B1E86FB" w14:textId="77777777" w:rsidR="000C1FB4" w:rsidRDefault="000C1FB4" w:rsidP="000C1FB4"/>
    <w:p w14:paraId="6673E7B0" w14:textId="77777777" w:rsidR="000C1FB4" w:rsidRDefault="000C1FB4" w:rsidP="000C1FB4"/>
    <w:p w14:paraId="285741DA" w14:textId="77777777" w:rsidR="000C1FB4" w:rsidRDefault="000C1FB4" w:rsidP="000C1FB4"/>
    <w:p w14:paraId="5561A6C8" w14:textId="078C3198" w:rsidR="000C1FB4" w:rsidRPr="000C1FB4" w:rsidRDefault="006325C6" w:rsidP="000C1FB4">
      <w:pPr>
        <w:pStyle w:val="Titre2"/>
      </w:pPr>
      <w:bookmarkStart w:id="0" w:name="_Toc185501035"/>
      <w:r w:rsidRPr="000C1FB4">
        <w:t>Le changement de régime matrimonial</w:t>
      </w:r>
      <w:bookmarkEnd w:id="0"/>
    </w:p>
    <w:p w14:paraId="29D35118" w14:textId="77777777" w:rsidR="000C1FB4" w:rsidRDefault="000C1FB4" w:rsidP="000C1FB4">
      <w:pPr>
        <w:pStyle w:val="CGPC-elearning"/>
        <w:rPr>
          <w:rFonts w:eastAsiaTheme="majorEastAsia"/>
          <w:color w:val="3A5D9C"/>
          <w:sz w:val="44"/>
          <w:szCs w:val="26"/>
          <w:bdr w:val="none" w:sz="0" w:space="0" w:color="auto" w:frame="1"/>
        </w:rPr>
      </w:pPr>
      <w:r>
        <w:br w:type="page"/>
      </w:r>
    </w:p>
    <w:p w14:paraId="50EDEFFB" w14:textId="72C447D9" w:rsidR="006325C6" w:rsidRDefault="006325C6" w:rsidP="006325C6">
      <w:pPr>
        <w:pStyle w:val="Titre3"/>
        <w:rPr>
          <w:sz w:val="36"/>
          <w:szCs w:val="36"/>
        </w:rPr>
      </w:pPr>
      <w:bookmarkStart w:id="1" w:name="_Toc185501036"/>
      <w:r>
        <w:lastRenderedPageBreak/>
        <w:t>La modification du contrat de mariage</w:t>
      </w:r>
      <w:bookmarkEnd w:id="1"/>
    </w:p>
    <w:p w14:paraId="3A29D79A" w14:textId="77777777" w:rsidR="006325C6" w:rsidRDefault="006325C6" w:rsidP="006325C6">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531C4347" w14:textId="6F05520E" w:rsidR="006325C6" w:rsidRPr="006325C6" w:rsidRDefault="006325C6" w:rsidP="006325C6">
      <w:pPr>
        <w:pStyle w:val="CGPC-elearning"/>
      </w:pPr>
      <w:r w:rsidRPr="006325C6">
        <w:t>Autrefois, le changement de régime matrimonial était impossible. Le principe était l’immutabilité du régime matrimonial.</w:t>
      </w:r>
    </w:p>
    <w:p w14:paraId="7E4DE57D" w14:textId="77777777" w:rsidR="006325C6" w:rsidRPr="006325C6" w:rsidRDefault="006325C6" w:rsidP="006325C6">
      <w:pPr>
        <w:pStyle w:val="CGPC-elearning"/>
      </w:pPr>
      <w:r w:rsidRPr="006325C6">
        <w:t>Aujourd’hui, le principe est la </w:t>
      </w:r>
      <w:r w:rsidRPr="006325C6">
        <w:rPr>
          <w:rStyle w:val="lev"/>
          <w:b w:val="0"/>
          <w:bCs/>
        </w:rPr>
        <w:t>mutabilité contrôlée</w:t>
      </w:r>
      <w:r w:rsidRPr="006325C6">
        <w:t> du régime </w:t>
      </w:r>
      <w:r w:rsidRPr="006325C6">
        <w:rPr>
          <w:rStyle w:val="lev"/>
          <w:b w:val="0"/>
          <w:bCs/>
        </w:rPr>
        <w:t>matrimonial</w:t>
      </w:r>
      <w:r w:rsidRPr="006325C6">
        <w:t>. Par conséquent, les époux peuvent apporter des modifications à leur contrat de mariage, sous certaines conditions.</w:t>
      </w:r>
    </w:p>
    <w:p w14:paraId="0D69DF6E" w14:textId="0C8E482B" w:rsidR="006325C6" w:rsidRPr="006325C6" w:rsidRDefault="006325C6" w:rsidP="006325C6">
      <w:pPr>
        <w:pStyle w:val="CGPC-elearning"/>
      </w:pPr>
      <w:r w:rsidRPr="006325C6">
        <w:rPr>
          <w:noProof/>
          <w:lang w:eastAsia="fr-FR"/>
        </w:rPr>
        <w:drawing>
          <wp:inline distT="0" distB="0" distL="0" distR="0" wp14:anchorId="3885E919" wp14:editId="278AA2A4">
            <wp:extent cx="225425" cy="225425"/>
            <wp:effectExtent l="0" t="0" r="3175" b="3175"/>
            <wp:docPr id="654706704" name="Image 5"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706704" name="Image 5" descr="Une image contenant jaune, ligne, Graphique, conception&#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sidRPr="006325C6">
        <w:rPr>
          <w:rStyle w:val="lev"/>
          <w:b w:val="0"/>
          <w:bCs/>
        </w:rPr>
        <w:t> Remarque :</w:t>
      </w:r>
      <w:r w:rsidRPr="006325C6">
        <w:t> le changement de régime matrimonial n’a plus besoin d’être homologué par le tribunal (sauf en cas d’opposition d’une partie au contrat, d’un enfant majeur ou d’un créancier ou en cas de saisine du juge des tutelles par le notaire en présence d’enfants mineurs), mais les enfants et les créanciers doivent être informés.</w:t>
      </w:r>
    </w:p>
    <w:p w14:paraId="40D5FCE7" w14:textId="77777777" w:rsidR="006325C6" w:rsidRDefault="006325C6" w:rsidP="006325C6">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1AD2B8B" w14:textId="5A3F879C" w:rsidR="006325C6" w:rsidRDefault="006325C6" w:rsidP="006325C6">
      <w:pPr>
        <w:pStyle w:val="Titre3"/>
        <w:rPr>
          <w:sz w:val="36"/>
          <w:szCs w:val="36"/>
        </w:rPr>
      </w:pPr>
      <w:bookmarkStart w:id="2" w:name="_Toc185501037"/>
      <w:r>
        <w:t>Qui peut demander à modifier le régime matrimonial ?</w:t>
      </w:r>
      <w:bookmarkEnd w:id="2"/>
    </w:p>
    <w:p w14:paraId="5474389F" w14:textId="77777777" w:rsidR="006325C6" w:rsidRDefault="006325C6" w:rsidP="006325C6">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5B6C5042" w14:textId="52424C41" w:rsidR="006325C6" w:rsidRPr="006325C6" w:rsidRDefault="006325C6" w:rsidP="006325C6">
      <w:pPr>
        <w:pStyle w:val="CGPC-elearning"/>
      </w:pPr>
      <w:r w:rsidRPr="006325C6">
        <w:t>La modification peut être à l’initiative des </w:t>
      </w:r>
      <w:r w:rsidRPr="006325C6">
        <w:rPr>
          <w:rStyle w:val="lev"/>
          <w:b w:val="0"/>
          <w:bCs/>
        </w:rPr>
        <w:t>deux époux</w:t>
      </w:r>
      <w:r w:rsidRPr="006325C6">
        <w:t>. Le changement de régime matrimonial intervenant dans l’intérêt de la famille est possible à tout moment et sans délai, depuis l’entrée en vigueur de la loi n° 2019-222 du 23 mars 2019 (avant cette date, le régime ne pouvait être modifié qu’après un délai minimum de 2 ans à compter de l’établissement du contrat initial).</w:t>
      </w:r>
    </w:p>
    <w:p w14:paraId="654FC8DE" w14:textId="77777777" w:rsidR="006325C6" w:rsidRPr="006325C6" w:rsidRDefault="006325C6" w:rsidP="006325C6">
      <w:pPr>
        <w:pStyle w:val="CGPC-elearning"/>
      </w:pPr>
      <w:r w:rsidRPr="006325C6">
        <w:t>Les règles sont identiques, qu’il s’agisse d’un changement total ou de simples modifications.</w:t>
      </w:r>
    </w:p>
    <w:p w14:paraId="40D9E522" w14:textId="77777777" w:rsidR="006325C6" w:rsidRPr="006325C6" w:rsidRDefault="006325C6" w:rsidP="006325C6">
      <w:pPr>
        <w:pStyle w:val="CGPC-elearning"/>
      </w:pPr>
      <w:r w:rsidRPr="006325C6">
        <w:t>La modification doit être effectuée par acte notarié et la mention du changement de régime inscrit en marge de l’acte de mariage. Si un des époux est commerçant, la modification doit être publiée au registre du commerce.</w:t>
      </w:r>
    </w:p>
    <w:p w14:paraId="02382631" w14:textId="20882759" w:rsidR="006325C6" w:rsidRPr="006325C6" w:rsidRDefault="006325C6" w:rsidP="006325C6">
      <w:pPr>
        <w:pStyle w:val="CGPC-elearning"/>
      </w:pPr>
      <w:r w:rsidRPr="006325C6">
        <w:rPr>
          <w:noProof/>
          <w:lang w:eastAsia="fr-FR"/>
        </w:rPr>
        <w:drawing>
          <wp:inline distT="0" distB="0" distL="0" distR="0" wp14:anchorId="044C2473" wp14:editId="7B076B17">
            <wp:extent cx="201930" cy="201930"/>
            <wp:effectExtent l="0" t="0" r="7620" b="7620"/>
            <wp:docPr id="1840310009" name="Image 4" descr="Une image contenant capture d’écran,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310009" name="Image 4" descr="Une image contenant capture d’écran, dessin humoristique&#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6325C6">
        <w:rPr>
          <w:rStyle w:val="lev"/>
          <w:b w:val="0"/>
          <w:bCs/>
        </w:rPr>
        <w:t> Attention :</w:t>
      </w:r>
      <w:r w:rsidRPr="006325C6">
        <w:t> la modification à l’initiative </w:t>
      </w:r>
      <w:r w:rsidRPr="006325C6">
        <w:rPr>
          <w:rStyle w:val="lev"/>
          <w:b w:val="0"/>
          <w:bCs/>
        </w:rPr>
        <w:t>d’un seul</w:t>
      </w:r>
      <w:r w:rsidRPr="006325C6">
        <w:t> époux doit résulter d’une séparation de biens judiciaire ou d’une modification judiciaire du pouvoir des époux. Elle intervient alors par jugement.</w:t>
      </w:r>
    </w:p>
    <w:p w14:paraId="26FF1B97" w14:textId="438C99A1" w:rsidR="00262DEC" w:rsidRPr="00060013" w:rsidRDefault="00262DEC" w:rsidP="00060013">
      <w:pPr>
        <w:jc w:val="left"/>
        <w:rPr>
          <w:rFonts w:eastAsia="Times New Roman" w:cs="Open Sans"/>
          <w:noProof/>
          <w:color w:val="666666"/>
          <w:sz w:val="21"/>
          <w:szCs w:val="21"/>
          <w:lang w:eastAsia="fr-FR"/>
        </w:rPr>
      </w:pPr>
      <w:r>
        <w:rPr>
          <w:rFonts w:cs="Open Sans"/>
          <w:noProof/>
          <w:color w:val="666666"/>
          <w:sz w:val="21"/>
          <w:szCs w:val="21"/>
        </w:rPr>
        <w:br w:type="page"/>
      </w:r>
    </w:p>
    <w:p w14:paraId="4FDEA2D6" w14:textId="03EE8358" w:rsidR="00262DEC" w:rsidRDefault="00060013" w:rsidP="00262DEC">
      <w:r>
        <w:rPr>
          <w:rFonts w:cs="Open Sans"/>
          <w:noProof/>
          <w:color w:val="666666"/>
          <w:sz w:val="21"/>
          <w:szCs w:val="21"/>
          <w14:ligatures w14:val="standardContextual"/>
        </w:rPr>
        <w:lastRenderedPageBreak/>
        <mc:AlternateContent>
          <mc:Choice Requires="wps">
            <w:drawing>
              <wp:anchor distT="0" distB="0" distL="114300" distR="114300" simplePos="0" relativeHeight="251658240" behindDoc="1" locked="0" layoutInCell="1" allowOverlap="1" wp14:anchorId="09C33F75" wp14:editId="3C7AD47C">
                <wp:simplePos x="0" y="0"/>
                <wp:positionH relativeFrom="column">
                  <wp:posOffset>-2554014</wp:posOffset>
                </wp:positionH>
                <wp:positionV relativeFrom="paragraph">
                  <wp:posOffset>-2112579</wp:posOffset>
                </wp:positionV>
                <wp:extent cx="17058290" cy="12234041"/>
                <wp:effectExtent l="0" t="0" r="10795" b="15240"/>
                <wp:wrapNone/>
                <wp:docPr id="1825290682" name="Rectangle 6"/>
                <wp:cNvGraphicFramePr/>
                <a:graphic xmlns:a="http://schemas.openxmlformats.org/drawingml/2006/main">
                  <a:graphicData uri="http://schemas.microsoft.com/office/word/2010/wordprocessingShape">
                    <wps:wsp>
                      <wps:cNvSpPr/>
                      <wps:spPr>
                        <a:xfrm>
                          <a:off x="0" y="0"/>
                          <a:ext cx="17058290" cy="12234041"/>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BA7953" id="Rectangle 6" o:spid="_x0000_s1026" style="position:absolute;margin-left:-201.1pt;margin-top:-166.35pt;width:1343.15pt;height:963.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" fillcolor="#2f5496 [2404]" strokecolor="#09101d [484]" strokeweight="1pt"/>
            </w:pict>
          </mc:Fallback>
        </mc:AlternateContent>
      </w:r>
    </w:p>
    <w:p w14:paraId="1533E885" w14:textId="77777777" w:rsidR="00262DEC" w:rsidRDefault="00262DEC" w:rsidP="00262DEC"/>
    <w:p w14:paraId="620293BB" w14:textId="77777777" w:rsidR="00262DEC" w:rsidRDefault="00262DEC" w:rsidP="00262DEC"/>
    <w:p w14:paraId="12DD7DC4" w14:textId="77777777" w:rsidR="00262DEC" w:rsidRDefault="00262DEC" w:rsidP="00262DEC"/>
    <w:p w14:paraId="5E78CE1C" w14:textId="77777777" w:rsidR="00060013" w:rsidRDefault="00060013" w:rsidP="00060013"/>
    <w:p w14:paraId="07273C91" w14:textId="77777777" w:rsidR="00060013" w:rsidRDefault="00060013" w:rsidP="00060013"/>
    <w:p w14:paraId="6CF1511A" w14:textId="77777777" w:rsidR="00060013" w:rsidRDefault="00060013" w:rsidP="00060013"/>
    <w:p w14:paraId="13F6D732" w14:textId="77777777" w:rsidR="00060013" w:rsidRDefault="00060013" w:rsidP="00060013"/>
    <w:p w14:paraId="435F2BD9" w14:textId="77777777" w:rsidR="00060013" w:rsidRDefault="00060013" w:rsidP="00060013"/>
    <w:p w14:paraId="71DFDA3E" w14:textId="77777777" w:rsidR="00060013" w:rsidRDefault="00060013" w:rsidP="00060013"/>
    <w:p w14:paraId="7772E6F9" w14:textId="3521EF23" w:rsidR="00262DEC" w:rsidRPr="00060013" w:rsidRDefault="006325C6" w:rsidP="00060013">
      <w:pPr>
        <w:pStyle w:val="Titre2"/>
      </w:pPr>
      <w:bookmarkStart w:id="3" w:name="_Toc185501038"/>
      <w:r w:rsidRPr="00060013">
        <w:t>La protection du conjoint survivant par l’aménagement du régime matrimonial ou la création d’avantages matrimoniaux</w:t>
      </w:r>
      <w:bookmarkEnd w:id="3"/>
    </w:p>
    <w:p w14:paraId="2B135984" w14:textId="77777777" w:rsidR="00262DEC" w:rsidRDefault="00262DEC" w:rsidP="00262DEC">
      <w:pPr>
        <w:pStyle w:val="CGPC-elearning"/>
        <w:rPr>
          <w:rFonts w:eastAsiaTheme="majorEastAsia"/>
          <w:color w:val="3A5D9C"/>
          <w:sz w:val="48"/>
          <w:szCs w:val="26"/>
          <w:bdr w:val="none" w:sz="0" w:space="0" w:color="auto" w:frame="1"/>
        </w:rPr>
      </w:pPr>
      <w:r>
        <w:br w:type="page"/>
      </w:r>
    </w:p>
    <w:p w14:paraId="0E13D2AD" w14:textId="292EE0EA" w:rsidR="006325C6" w:rsidRDefault="006325C6" w:rsidP="00E93EBA">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lastRenderedPageBreak/>
        <w:drawing>
          <wp:inline distT="0" distB="0" distL="0" distR="0" wp14:anchorId="58F7C458" wp14:editId="23EE84A0">
            <wp:extent cx="11715750" cy="7812858"/>
            <wp:effectExtent l="533400" t="457200" r="800100" b="798195"/>
            <wp:docPr id="1797128296" name="Image 2" descr="Une image contenant fournitures de bureau, personne, Article de bureau, stylos et plum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28296" name="Image 2" descr="Une image contenant fournitures de bureau, personne, Article de bureau, stylos et plumes&#10;&#10;Description générée automatiquem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751353" cy="7836600"/>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6A168CF2" w14:textId="77777777" w:rsidR="006325C6" w:rsidRDefault="006325C6" w:rsidP="006325C6">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2985DFD6" w14:textId="65941152" w:rsidR="006325C6" w:rsidRPr="006325C6" w:rsidRDefault="006325C6" w:rsidP="006325C6">
      <w:pPr>
        <w:pStyle w:val="Titre3"/>
        <w:numPr>
          <w:ilvl w:val="0"/>
          <w:numId w:val="31"/>
        </w:numPr>
        <w:rPr>
          <w:sz w:val="36"/>
          <w:szCs w:val="36"/>
        </w:rPr>
      </w:pPr>
      <w:bookmarkStart w:id="4" w:name="_Toc185501039"/>
      <w:r>
        <w:t>Clause de préciput, clause d’exclusion du bien professionnel, clause d’attribution de la communauté</w:t>
      </w:r>
      <w:bookmarkEnd w:id="4"/>
    </w:p>
    <w:p w14:paraId="7015F8D9" w14:textId="77777777" w:rsidR="006325C6" w:rsidRDefault="006325C6" w:rsidP="006325C6">
      <w:pPr>
        <w:pStyle w:val="NormalWeb"/>
        <w:shd w:val="clear" w:color="auto" w:fill="FFFFFF"/>
        <w:spacing w:before="0" w:beforeAutospacing="0" w:after="0" w:afterAutospacing="0"/>
        <w:textAlignment w:val="baseline"/>
        <w:rPr>
          <w:rStyle w:val="lev"/>
          <w:color w:val="666666"/>
          <w:sz w:val="21"/>
          <w:szCs w:val="21"/>
        </w:rPr>
      </w:pPr>
    </w:p>
    <w:p w14:paraId="0FE8D5EF" w14:textId="7C695605" w:rsidR="006325C6" w:rsidRPr="00AE443F" w:rsidRDefault="006325C6" w:rsidP="00AE443F">
      <w:pPr>
        <w:pStyle w:val="Titre4"/>
      </w:pPr>
      <w:r w:rsidRPr="00AE443F">
        <w:rPr>
          <w:rStyle w:val="lev"/>
          <w:b/>
        </w:rPr>
        <w:t>Les avantages matrimoniaux</w:t>
      </w:r>
    </w:p>
    <w:p w14:paraId="741A5D36" w14:textId="77777777" w:rsidR="00C245BD" w:rsidRDefault="00C245BD" w:rsidP="006325C6">
      <w:pPr>
        <w:pStyle w:val="CGPC-elearning"/>
        <w:sectPr w:rsidR="00C245BD" w:rsidSect="00632514">
          <w:headerReference w:type="default" r:id="rId14"/>
          <w:footerReference w:type="default" r:id="rId15"/>
          <w:pgSz w:w="23811" w:h="16838" w:orient="landscape" w:code="8"/>
          <w:pgMar w:top="1440" w:right="1440" w:bottom="1440" w:left="1440" w:header="720" w:footer="720" w:gutter="0"/>
          <w:pgNumType w:start="0"/>
          <w:cols w:space="720"/>
          <w:titlePg/>
          <w:docGrid w:linePitch="360"/>
        </w:sectPr>
      </w:pPr>
    </w:p>
    <w:p w14:paraId="7263E659" w14:textId="77777777" w:rsidR="006325C6" w:rsidRDefault="006325C6" w:rsidP="006325C6">
      <w:pPr>
        <w:pStyle w:val="CGPC-elearning"/>
      </w:pPr>
      <w:r>
        <w:t>Un avantage matrimonial est un avantage dont bénéficie un conjoint par l’effet d’une clause du contrat de mariage auquel il n’aurait pas eu droit dans le régime légal de la communauté de biens réduite aux acquêts.</w:t>
      </w:r>
    </w:p>
    <w:p w14:paraId="7D88CAD5" w14:textId="77777777" w:rsidR="006325C6" w:rsidRDefault="006325C6" w:rsidP="006325C6">
      <w:pPr>
        <w:pStyle w:val="CGPC-elearning"/>
      </w:pPr>
      <w:r>
        <w:t>Formalisme : ces clauses, même si elles sont considérées comme un aménagement du contrat existant, sont néanmoins soumises à tout le formalisme du changement de régime matrimonial (acte notarié, information des créanciers et des enfants majeurs, homologation à la requête du notaire en présence d’enfants mineurs…).</w:t>
      </w:r>
    </w:p>
    <w:p w14:paraId="03DA39CE" w14:textId="77777777" w:rsidR="006325C6" w:rsidRDefault="006325C6" w:rsidP="006325C6">
      <w:pPr>
        <w:pStyle w:val="CGPC-elearning"/>
      </w:pPr>
      <w:r>
        <w:t xml:space="preserve">Contenu : il peut s’agir d’une clause d’ameublissement, qui permet d’étendre la masse des biens communs, donc la partie partagée au décès, ou au contraire la clause d’exclusion de communauté (augmentant la masse des biens propres). La répartition des biens communs peut également être aménagée </w:t>
      </w:r>
      <w:r>
        <w:t>par une clause de préciput (le conjoint survivant prélève sur la communauté une somme ou un bien, comme un contrat d’assurance vie non dénoué par exemple), une clause de partage inégal ou une clause d’attribution intégrale (en pleine propriété ou en usufruit).</w:t>
      </w:r>
    </w:p>
    <w:p w14:paraId="65E84104" w14:textId="77777777" w:rsidR="006325C6" w:rsidRDefault="006325C6" w:rsidP="006325C6">
      <w:pPr>
        <w:pStyle w:val="CGPC-elearning"/>
      </w:pPr>
      <w:r>
        <w:t>Le changement de régime, du régime légal vers la communauté universelle, permet également d’augmenter la part du conjoint survivant, qui peut aller jusqu’à la totalité. S’il est prévu par la loi que ces dispositions ne portent pas atteinte à la réserve des enfants du couple, les enfants non communs sont néanmoins protégés par la possibilité d’exercer l’action en retranchement. Cette action leur permet de réduire l’avantage matrimonial à la quotité disponible et de reconstituer leur part de réserve.</w:t>
      </w:r>
    </w:p>
    <w:p w14:paraId="3276D49B" w14:textId="77777777" w:rsidR="00C245BD" w:rsidRDefault="00C245BD" w:rsidP="006325C6">
      <w:pPr>
        <w:pStyle w:val="CGPC-elearning"/>
        <w:sectPr w:rsidR="00C245BD" w:rsidSect="00C245BD">
          <w:type w:val="continuous"/>
          <w:pgSz w:w="23811" w:h="16838" w:orient="landscape" w:code="8"/>
          <w:pgMar w:top="1440" w:right="1440" w:bottom="1440" w:left="1440" w:header="720" w:footer="720" w:gutter="0"/>
          <w:pgNumType w:start="0"/>
          <w:cols w:num="2" w:space="720"/>
          <w:titlePg/>
          <w:docGrid w:linePitch="360"/>
        </w:sectPr>
      </w:pPr>
    </w:p>
    <w:p w14:paraId="1E197B9B" w14:textId="77777777" w:rsidR="00AE443F" w:rsidRDefault="00AE443F" w:rsidP="006325C6">
      <w:pPr>
        <w:pStyle w:val="CGPC-elearning"/>
      </w:pPr>
    </w:p>
    <w:p w14:paraId="52A7A780" w14:textId="185C31E9" w:rsidR="00E93EBA" w:rsidRDefault="00E93EBA">
      <w:pPr>
        <w:jc w:val="left"/>
        <w:rPr>
          <w:rFonts w:cs="Open Sans"/>
          <w:bCs/>
          <w:kern w:val="2"/>
          <w:szCs w:val="36"/>
          <w14:ligatures w14:val="standardContextual"/>
        </w:rPr>
      </w:pPr>
      <w:r>
        <w:br w:type="page"/>
      </w:r>
    </w:p>
    <w:p w14:paraId="23F3655A" w14:textId="462F4041" w:rsidR="00AE443F" w:rsidRDefault="00E5566A" w:rsidP="006325C6">
      <w:pPr>
        <w:pStyle w:val="CGPC-elearning"/>
      </w:pPr>
      <w:r>
        <w:rPr>
          <w:noProof/>
        </w:rPr>
        <w:lastRenderedPageBreak/>
        <mc:AlternateContent>
          <mc:Choice Requires="wps">
            <w:drawing>
              <wp:anchor distT="0" distB="0" distL="114300" distR="114300" simplePos="0" relativeHeight="251660288" behindDoc="1" locked="0" layoutInCell="1" allowOverlap="1" wp14:anchorId="1DC0E35D" wp14:editId="764FE92C">
                <wp:simplePos x="0" y="0"/>
                <wp:positionH relativeFrom="column">
                  <wp:posOffset>-895350</wp:posOffset>
                </wp:positionH>
                <wp:positionV relativeFrom="paragraph">
                  <wp:posOffset>-895350</wp:posOffset>
                </wp:positionV>
                <wp:extent cx="15220950" cy="10725150"/>
                <wp:effectExtent l="0" t="0" r="19050" b="19050"/>
                <wp:wrapNone/>
                <wp:docPr id="822428454" name="Rectangle 7"/>
                <wp:cNvGraphicFramePr/>
                <a:graphic xmlns:a="http://schemas.openxmlformats.org/drawingml/2006/main">
                  <a:graphicData uri="http://schemas.microsoft.com/office/word/2010/wordprocessingShape">
                    <wps:wsp>
                      <wps:cNvSpPr/>
                      <wps:spPr>
                        <a:xfrm>
                          <a:off x="0" y="0"/>
                          <a:ext cx="15220950" cy="107251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483F3D" id="Rectangle 7" o:spid="_x0000_s1026" style="position:absolute;margin-left:-70.5pt;margin-top:-70.5pt;width:1198.5pt;height:844.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" fillcolor="#2f5496 [2404]" strokecolor="#09101d [484]" strokeweight="1pt"/>
            </w:pict>
          </mc:Fallback>
        </mc:AlternateContent>
      </w:r>
    </w:p>
    <w:p w14:paraId="4B84A21F" w14:textId="77777777" w:rsidR="00E93EBA" w:rsidRDefault="00E93EBA" w:rsidP="006325C6">
      <w:pPr>
        <w:pStyle w:val="CGPC-elearning"/>
      </w:pPr>
    </w:p>
    <w:p w14:paraId="1DF1CCE5" w14:textId="77777777" w:rsidR="00E93EBA" w:rsidRDefault="00E93EBA" w:rsidP="006325C6">
      <w:pPr>
        <w:pStyle w:val="CGPC-elearning"/>
      </w:pPr>
    </w:p>
    <w:p w14:paraId="33EB67E4" w14:textId="77777777" w:rsidR="00E93EBA" w:rsidRDefault="00E93EBA" w:rsidP="006325C6">
      <w:pPr>
        <w:pStyle w:val="CGPC-elearning"/>
      </w:pPr>
    </w:p>
    <w:p w14:paraId="5EBFF8A2" w14:textId="77777777" w:rsidR="00E93EBA" w:rsidRDefault="00E93EBA" w:rsidP="006325C6">
      <w:pPr>
        <w:pStyle w:val="CGPC-elearning"/>
      </w:pPr>
    </w:p>
    <w:p w14:paraId="26547500" w14:textId="77777777" w:rsidR="00E93EBA" w:rsidRDefault="00E93EBA" w:rsidP="006325C6">
      <w:pPr>
        <w:pStyle w:val="CGPC-elearning"/>
      </w:pPr>
    </w:p>
    <w:p w14:paraId="14C47B86" w14:textId="77777777" w:rsidR="00E93EBA" w:rsidRDefault="00E93EBA" w:rsidP="006325C6">
      <w:pPr>
        <w:pStyle w:val="CGPC-elearning"/>
      </w:pPr>
    </w:p>
    <w:p w14:paraId="74719A34" w14:textId="77777777" w:rsidR="00E93EBA" w:rsidRDefault="00E93EBA" w:rsidP="006325C6">
      <w:pPr>
        <w:pStyle w:val="CGPC-elearning"/>
      </w:pPr>
    </w:p>
    <w:p w14:paraId="367977F0" w14:textId="77777777" w:rsidR="00E93EBA" w:rsidRDefault="00E93EBA" w:rsidP="006325C6">
      <w:pPr>
        <w:pStyle w:val="CGPC-elearning"/>
      </w:pPr>
    </w:p>
    <w:p w14:paraId="04D1AA34" w14:textId="77777777" w:rsidR="00AE443F" w:rsidRDefault="00AE443F" w:rsidP="006325C6">
      <w:pPr>
        <w:pStyle w:val="CGPC-elearning"/>
      </w:pPr>
    </w:p>
    <w:p w14:paraId="1A13249A" w14:textId="76376B97" w:rsidR="00E93EBA" w:rsidRDefault="006325C6" w:rsidP="006325C6">
      <w:pPr>
        <w:pStyle w:val="Titre2"/>
      </w:pPr>
      <w:bookmarkStart w:id="5" w:name="_Toc185501040"/>
      <w:r>
        <w:t>Compréhension des enjeux liés à l’extranéité pour bien diriger vers un professionnel du droit</w:t>
      </w:r>
      <w:bookmarkEnd w:id="5"/>
    </w:p>
    <w:p w14:paraId="47277498" w14:textId="77777777" w:rsidR="00E93EBA" w:rsidRDefault="00E93EBA" w:rsidP="00E93EBA">
      <w:pPr>
        <w:pStyle w:val="CGPC-elearning"/>
        <w:rPr>
          <w:rFonts w:eastAsiaTheme="majorEastAsia"/>
          <w:color w:val="3A5D9C"/>
          <w:sz w:val="48"/>
          <w:szCs w:val="26"/>
          <w:bdr w:val="none" w:sz="0" w:space="0" w:color="auto" w:frame="1"/>
        </w:rPr>
      </w:pPr>
      <w:r>
        <w:br w:type="page"/>
      </w:r>
    </w:p>
    <w:p w14:paraId="568EAF55" w14:textId="77777777" w:rsidR="00BB4904" w:rsidRDefault="00BB4904" w:rsidP="006325C6">
      <w:pPr>
        <w:pStyle w:val="CGPC-elearning"/>
        <w:sectPr w:rsidR="00BB4904" w:rsidSect="00C245BD">
          <w:type w:val="continuous"/>
          <w:pgSz w:w="23811" w:h="16838" w:orient="landscape" w:code="8"/>
          <w:pgMar w:top="1440" w:right="1440" w:bottom="1440" w:left="1440" w:header="720" w:footer="720" w:gutter="0"/>
          <w:pgNumType w:start="0"/>
          <w:cols w:space="720"/>
          <w:titlePg/>
          <w:docGrid w:linePitch="360"/>
        </w:sectPr>
      </w:pPr>
    </w:p>
    <w:p w14:paraId="6B6FDBDE" w14:textId="657EFCA9" w:rsidR="006325C6" w:rsidRPr="006325C6" w:rsidRDefault="006325C6" w:rsidP="006325C6">
      <w:pPr>
        <w:pStyle w:val="CGPC-elearning"/>
      </w:pPr>
      <w:r w:rsidRPr="006325C6">
        <w:t>Pour les époux mariés avant le 29 janvier 2019, il est nécessaire de comprendre les enjeux de la mutabilité automatique du régime matrimonial en cas d’expatriation ou de mariage à l’étranger avant de revenir en France, et de prendre les dispositions qui s’imposent pour conserver une stabilité au régime matrimonial.</w:t>
      </w:r>
    </w:p>
    <w:p w14:paraId="3D52CF21" w14:textId="77777777" w:rsidR="006325C6" w:rsidRPr="006325C6" w:rsidRDefault="006325C6" w:rsidP="006325C6">
      <w:pPr>
        <w:pStyle w:val="CGPC-elearning"/>
      </w:pPr>
      <w:r w:rsidRPr="006325C6">
        <w:t>Depuis le 29 janvier 2019, date d’entrée en vigueur du règlement (UE) 2016/1103 du Conseil du 24 juin 2016, trois changements majeurs contribuent à l’objectif de sécurité juridique :</w:t>
      </w:r>
    </w:p>
    <w:p w14:paraId="2CE10C04" w14:textId="77777777" w:rsidR="006325C6" w:rsidRPr="006325C6" w:rsidRDefault="006325C6" w:rsidP="006325C6">
      <w:pPr>
        <w:pStyle w:val="CGPC-elearning"/>
      </w:pPr>
      <w:r w:rsidRPr="006325C6">
        <w:t>1/ la mutabilité automatique du régime matrimonial est supprimée ;</w:t>
      </w:r>
    </w:p>
    <w:p w14:paraId="5096C5ED" w14:textId="77777777" w:rsidR="006325C6" w:rsidRPr="006325C6" w:rsidRDefault="006325C6" w:rsidP="006325C6">
      <w:pPr>
        <w:pStyle w:val="CGPC-elearning"/>
      </w:pPr>
      <w:r w:rsidRPr="006325C6">
        <w:t xml:space="preserve">2/ cette mutabilité automatique est remplacée par un choix volontaire, par les couples binationaux et expatriés, de la loi applicable à l’encadrement de </w:t>
      </w:r>
      <w:r w:rsidRPr="006325C6">
        <w:t>leur union. Les époux pourront désormais choisir si cette loi sera celle du pays de leur résidence habituelle, celle de leur pays de nationalité commune ou, à défaut, celle du pays avec lequel ils entretiennent les liens les plus étroits. À défaut de choix, la loi applicable est par principe celle de la première résidence habituelle des époux ; à défaut, « la loi interne de l’État avec lequel, compte tenu de toutes les circonstances, les époux présentent les liens les plus étroits » ;</w:t>
      </w:r>
    </w:p>
    <w:p w14:paraId="4333F215" w14:textId="77777777" w:rsidR="006325C6" w:rsidRDefault="006325C6" w:rsidP="006325C6">
      <w:pPr>
        <w:pStyle w:val="CGPC-elearning"/>
      </w:pPr>
      <w:r w:rsidRPr="006325C6">
        <w:t>3/ un principe d’unité de la loi retenue est désormais appliqué à l’ensemble du patrimoine du couple, quel que soit le lieu où les biens se trouvent.</w:t>
      </w:r>
    </w:p>
    <w:p w14:paraId="7A7B320D" w14:textId="1701E0B4" w:rsidR="00E93EBA" w:rsidRDefault="00E93EBA">
      <w:pPr>
        <w:jc w:val="left"/>
        <w:rPr>
          <w:rFonts w:cs="Open Sans"/>
          <w:bCs/>
          <w:kern w:val="2"/>
          <w:szCs w:val="36"/>
          <w14:ligatures w14:val="standardContextual"/>
        </w:rPr>
      </w:pPr>
      <w:r>
        <w:br w:type="page"/>
      </w:r>
    </w:p>
    <w:p w14:paraId="3AE92B24" w14:textId="77777777" w:rsidR="00BB4904" w:rsidRDefault="00BB4904" w:rsidP="006325C6">
      <w:pPr>
        <w:pStyle w:val="CGPC-elearning"/>
        <w:sectPr w:rsidR="00BB4904" w:rsidSect="00BB4904">
          <w:type w:val="continuous"/>
          <w:pgSz w:w="23811" w:h="16838" w:orient="landscape" w:code="8"/>
          <w:pgMar w:top="1440" w:right="1440" w:bottom="1440" w:left="1440" w:header="720" w:footer="720" w:gutter="0"/>
          <w:pgNumType w:start="0"/>
          <w:cols w:num="2" w:space="720"/>
          <w:titlePg/>
          <w:docGrid w:linePitch="360"/>
        </w:sectPr>
      </w:pPr>
    </w:p>
    <w:p w14:paraId="3E16164F" w14:textId="069337E9" w:rsidR="00AE443F" w:rsidRDefault="00E5566A" w:rsidP="006325C6">
      <w:pPr>
        <w:pStyle w:val="CGPC-elearning"/>
      </w:pPr>
      <w:r>
        <w:rPr>
          <w:noProof/>
        </w:rPr>
        <mc:AlternateContent>
          <mc:Choice Requires="wps">
            <w:drawing>
              <wp:anchor distT="0" distB="0" distL="114300" distR="114300" simplePos="0" relativeHeight="251662336" behindDoc="1" locked="0" layoutInCell="1" allowOverlap="1" wp14:anchorId="58D4A57B" wp14:editId="5BCE2EFA">
                <wp:simplePos x="0" y="0"/>
                <wp:positionH relativeFrom="column">
                  <wp:posOffset>-895350</wp:posOffset>
                </wp:positionH>
                <wp:positionV relativeFrom="paragraph">
                  <wp:posOffset>-914400</wp:posOffset>
                </wp:positionV>
                <wp:extent cx="15335250" cy="10648950"/>
                <wp:effectExtent l="0" t="0" r="19050" b="19050"/>
                <wp:wrapNone/>
                <wp:docPr id="1036602008" name="Rectangle 8"/>
                <wp:cNvGraphicFramePr/>
                <a:graphic xmlns:a="http://schemas.openxmlformats.org/drawingml/2006/main">
                  <a:graphicData uri="http://schemas.microsoft.com/office/word/2010/wordprocessingShape">
                    <wps:wsp>
                      <wps:cNvSpPr/>
                      <wps:spPr>
                        <a:xfrm>
                          <a:off x="0" y="0"/>
                          <a:ext cx="15335250" cy="106489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6E5153" id="Rectangle 8" o:spid="_x0000_s1026" style="position:absolute;margin-left:-70.5pt;margin-top:-1in;width:1207.5pt;height:838.5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" fillcolor="#2f5496 [2404]" strokecolor="#09101d [484]" strokeweight="1pt"/>
            </w:pict>
          </mc:Fallback>
        </mc:AlternateContent>
      </w:r>
    </w:p>
    <w:p w14:paraId="55478D97" w14:textId="77777777" w:rsidR="00E93EBA" w:rsidRDefault="00E93EBA" w:rsidP="006325C6">
      <w:pPr>
        <w:pStyle w:val="CGPC-elearning"/>
      </w:pPr>
    </w:p>
    <w:p w14:paraId="3611897A" w14:textId="77777777" w:rsidR="00E93EBA" w:rsidRDefault="00E93EBA" w:rsidP="006325C6">
      <w:pPr>
        <w:pStyle w:val="CGPC-elearning"/>
      </w:pPr>
    </w:p>
    <w:p w14:paraId="2E0AC797" w14:textId="77777777" w:rsidR="00E93EBA" w:rsidRDefault="00E93EBA" w:rsidP="006325C6">
      <w:pPr>
        <w:pStyle w:val="CGPC-elearning"/>
      </w:pPr>
    </w:p>
    <w:p w14:paraId="4D0FABCA" w14:textId="77777777" w:rsidR="00E93EBA" w:rsidRDefault="00E93EBA" w:rsidP="006325C6">
      <w:pPr>
        <w:pStyle w:val="CGPC-elearning"/>
      </w:pPr>
    </w:p>
    <w:p w14:paraId="05BDFB37" w14:textId="77777777" w:rsidR="00E93EBA" w:rsidRDefault="00E93EBA" w:rsidP="006325C6">
      <w:pPr>
        <w:pStyle w:val="CGPC-elearning"/>
      </w:pPr>
    </w:p>
    <w:p w14:paraId="14C59387" w14:textId="77777777" w:rsidR="00E93EBA" w:rsidRDefault="00E93EBA" w:rsidP="006325C6">
      <w:pPr>
        <w:pStyle w:val="CGPC-elearning"/>
      </w:pPr>
    </w:p>
    <w:p w14:paraId="3351DE25" w14:textId="77777777" w:rsidR="00E93EBA" w:rsidRDefault="00E93EBA" w:rsidP="006325C6">
      <w:pPr>
        <w:pStyle w:val="CGPC-elearning"/>
      </w:pPr>
    </w:p>
    <w:p w14:paraId="633C2085" w14:textId="77777777" w:rsidR="00AE443F" w:rsidRPr="006325C6" w:rsidRDefault="00AE443F" w:rsidP="006325C6">
      <w:pPr>
        <w:pStyle w:val="CGPC-elearning"/>
      </w:pPr>
    </w:p>
    <w:p w14:paraId="3ADAF96E" w14:textId="6932658F" w:rsidR="00E93EBA" w:rsidRDefault="006325C6" w:rsidP="006325C6">
      <w:pPr>
        <w:pStyle w:val="Titre2"/>
      </w:pPr>
      <w:bookmarkStart w:id="6" w:name="_Toc185501041"/>
      <w:r>
        <w:t xml:space="preserve">Adhésion individuelle vs. </w:t>
      </w:r>
      <w:r w:rsidR="00AE443F">
        <w:t>Co-</w:t>
      </w:r>
      <w:r w:rsidR="00632514">
        <w:t>adhésion</w:t>
      </w:r>
      <w:r>
        <w:t xml:space="preserve"> pour une assurance-vie</w:t>
      </w:r>
      <w:bookmarkEnd w:id="6"/>
    </w:p>
    <w:p w14:paraId="4D6F024E" w14:textId="77777777" w:rsidR="00E93EBA" w:rsidRDefault="00E93EBA" w:rsidP="00E93EBA">
      <w:pPr>
        <w:pStyle w:val="CGPC-elearning"/>
        <w:rPr>
          <w:rFonts w:eastAsiaTheme="majorEastAsia"/>
          <w:color w:val="3A5D9C"/>
          <w:sz w:val="48"/>
          <w:szCs w:val="26"/>
          <w:bdr w:val="none" w:sz="0" w:space="0" w:color="auto" w:frame="1"/>
        </w:rPr>
      </w:pPr>
      <w:r>
        <w:br w:type="page"/>
      </w:r>
    </w:p>
    <w:p w14:paraId="7D9FB6B7" w14:textId="756E6F8C" w:rsidR="006325C6" w:rsidRDefault="006325C6" w:rsidP="00BB4904">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lastRenderedPageBreak/>
        <w:drawing>
          <wp:inline distT="0" distB="0" distL="0" distR="0" wp14:anchorId="34344C58" wp14:editId="2173E605">
            <wp:extent cx="12240626" cy="6896100"/>
            <wp:effectExtent l="533400" t="457200" r="808990" b="800100"/>
            <wp:docPr id="1536946014" name="Image 1" descr="Une image contenant personne, mariée, Art floral, ros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46014" name="Image 1" descr="Une image contenant personne, mariée, Art floral, rose&#10;&#10;Description générée automatiquemen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296375" cy="6927508"/>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1E8DF59F" w14:textId="77777777" w:rsidR="00632514" w:rsidRDefault="00632514" w:rsidP="006325C6">
      <w:pPr>
        <w:pStyle w:val="CGPC-elearning"/>
      </w:pPr>
    </w:p>
    <w:p w14:paraId="008D87B2" w14:textId="77777777" w:rsidR="00BB4904" w:rsidRDefault="00BB4904" w:rsidP="006325C6">
      <w:pPr>
        <w:pStyle w:val="CGPC-elearning"/>
        <w:sectPr w:rsidR="00BB4904" w:rsidSect="00BB4904">
          <w:type w:val="continuous"/>
          <w:pgSz w:w="23811" w:h="16838" w:orient="landscape" w:code="8"/>
          <w:pgMar w:top="1440" w:right="1440" w:bottom="1440" w:left="1440" w:header="720" w:footer="720" w:gutter="0"/>
          <w:pgNumType w:start="0"/>
          <w:cols w:space="720"/>
          <w:titlePg/>
          <w:docGrid w:linePitch="360"/>
        </w:sectPr>
      </w:pPr>
    </w:p>
    <w:p w14:paraId="73318ECD" w14:textId="54C4D78C" w:rsidR="006325C6" w:rsidRDefault="006325C6" w:rsidP="006325C6">
      <w:pPr>
        <w:pStyle w:val="CGPC-elearning"/>
      </w:pPr>
      <w:r>
        <w:lastRenderedPageBreak/>
        <w:t>En cas de cession d’un actif de communauté, il est possible que chacun des époux choisisse de souscrire un contrat ou que les deux souscrivent le même contrat. Il est question alors de cosouscription. Il faut noter que, pendant l’adhésion conjointe, la gestion est alors une cogestion : rien ne peut se faire sans l’accord des deux époux. Il est souvent souhaitable de prévoir, notamment pour éviter le blocage en cas de survenance d’un état de dépendance, une clause dans le contrat permettant une gestion individuelle.</w:t>
      </w:r>
    </w:p>
    <w:p w14:paraId="4F404648" w14:textId="77777777" w:rsidR="006325C6" w:rsidRDefault="006325C6" w:rsidP="006325C6">
      <w:pPr>
        <w:pStyle w:val="CGPC-elearning"/>
      </w:pPr>
      <w:r>
        <w:t>Cette cosouscription peut revêtir deux formes selon que le contrat se dénoue au premier ou au second décès.</w:t>
      </w:r>
    </w:p>
    <w:p w14:paraId="6FD52314" w14:textId="77777777" w:rsidR="006325C6" w:rsidRDefault="006325C6" w:rsidP="006325C6">
      <w:pPr>
        <w:pStyle w:val="CGPC-elearning"/>
      </w:pPr>
      <w:r>
        <w:t>1/ Si le contrat se dénoue au premier décès, par la mise en œuvre de la clause bénéficiaire (souvent au profit du conjoint survivant !), il s’agit une co</w:t>
      </w:r>
      <w:r>
        <w:t>souscription avec dénouement au premier décès. Cette situation est acceptée par l’ensemble de la place française.</w:t>
      </w:r>
    </w:p>
    <w:p w14:paraId="5EAF97D2" w14:textId="77777777" w:rsidR="006325C6" w:rsidRDefault="006325C6" w:rsidP="006325C6">
      <w:pPr>
        <w:pStyle w:val="CGPC-elearning"/>
      </w:pPr>
      <w:r>
        <w:t>2/ Si le contrat ne se dénoue qu’au deuxième décès, le contrat devient individuel à la suite du premier décès ; il s’agit d’une cosouscription avec dénouement au second décès. Les pouvoirs de gestion (et de désignation du bénéficiaire) sont donc transmis au survivant après le premier décès.</w:t>
      </w:r>
    </w:p>
    <w:p w14:paraId="11604050" w14:textId="77777777" w:rsidR="006325C6" w:rsidRDefault="006325C6" w:rsidP="006325C6">
      <w:pPr>
        <w:pStyle w:val="CGPC-elearning"/>
      </w:pPr>
      <w:r>
        <w:t>Dans le second cas, il est souvent demandé par les services juridiques des sociétés d’assurances qu’une clause matrimoniale d’appropriation (appelée également clause de préciput) du contrat valide la souscription, compte tenu du fait que le transfert au conjoint survivant de la totalité de la valeur de rachat pourrait constituer une donation indirecte.</w:t>
      </w:r>
    </w:p>
    <w:p w14:paraId="509B70FC" w14:textId="77777777" w:rsidR="00BB4904" w:rsidRDefault="00BB4904" w:rsidP="006325C6">
      <w:pPr>
        <w:sectPr w:rsidR="00BB4904" w:rsidSect="00BB4904">
          <w:type w:val="continuous"/>
          <w:pgSz w:w="23811" w:h="16838" w:orient="landscape" w:code="8"/>
          <w:pgMar w:top="1440" w:right="1440" w:bottom="1440" w:left="1440" w:header="720" w:footer="720" w:gutter="0"/>
          <w:pgNumType w:start="0"/>
          <w:cols w:num="2" w:space="720"/>
          <w:titlePg/>
          <w:docGrid w:linePitch="360"/>
        </w:sectPr>
      </w:pPr>
    </w:p>
    <w:p w14:paraId="052E7E67" w14:textId="348FFB8E" w:rsidR="00EB0768" w:rsidRPr="006325C6" w:rsidRDefault="00EB0768" w:rsidP="006325C6"/>
    <w:sectPr w:rsidR="00EB0768" w:rsidRPr="006325C6" w:rsidSect="00BB4904">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68C1D" w14:textId="77777777" w:rsidR="00297197" w:rsidRDefault="00297197" w:rsidP="002020F9">
      <w:pPr>
        <w:spacing w:after="0" w:line="240" w:lineRule="auto"/>
      </w:pPr>
      <w:r>
        <w:separator/>
      </w:r>
    </w:p>
  </w:endnote>
  <w:endnote w:type="continuationSeparator" w:id="0">
    <w:p w14:paraId="0D6A1486" w14:textId="77777777" w:rsidR="00297197" w:rsidRDefault="00297197"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CF760E3-A3A7-416B-B976-57627861C762}"/>
    <w:embedBold r:id="rId2" w:fontKey="{599FEB3B-2E40-4DB7-B423-C8F0F1388252}"/>
    <w:embedItalic r:id="rId3" w:fontKey="{EF2DDCB4-FBF2-4FF9-8BF0-38E13DDD425B}"/>
    <w:embedBoldItalic r:id="rId4" w:fontKey="{47B31E54-7E61-4147-9A5C-C6555E4CDF61}"/>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90E3D73A-588D-42E0-BAEF-943CBB7A1B56}"/>
    <w:embedBold r:id="rId6" w:fontKey="{9E81CFC8-4B9F-43C8-9535-D598149B9695}"/>
    <w:embedItalic r:id="rId7" w:fontKey="{384FA0AE-653A-4454-A98E-24B4CE3E6876}"/>
    <w:embedBoldItalic r:id="rId8" w:fontKey="{5018195B-E83F-4F8C-B54E-6C63835FDF7F}"/>
  </w:font>
  <w:font w:name="Calibri Light">
    <w:panose1 w:val="020F0302020204030204"/>
    <w:charset w:val="00"/>
    <w:family w:val="swiss"/>
    <w:pitch w:val="variable"/>
    <w:sig w:usb0="E4002EFF" w:usb1="C200247B" w:usb2="00000009" w:usb3="00000000" w:csb0="000001FF" w:csb1="00000000"/>
    <w:embedRegular r:id="rId9" w:fontKey="{10B4A32C-30E4-4498-98E2-10505E64F2CD}"/>
  </w:font>
  <w:font w:name="Tahoma">
    <w:panose1 w:val="020B0604030504040204"/>
    <w:charset w:val="00"/>
    <w:family w:val="swiss"/>
    <w:pitch w:val="variable"/>
    <w:sig w:usb0="E1002EFF" w:usb1="C000605B" w:usb2="00000029" w:usb3="00000000" w:csb0="000101FF" w:csb1="00000000"/>
    <w:embedRegular r:id="rId10" w:fontKey="{A0D70747-865C-46BC-867B-3692F8B4E3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E0742" w14:textId="1AD427EE" w:rsidR="00AE443F" w:rsidRDefault="00060013">
    <w:pPr>
      <w:pStyle w:val="Pieddepage"/>
    </w:pPr>
    <w:r>
      <w:rPr>
        <w:noProof/>
        <w:color w:val="4472C4" w:themeColor="accent1"/>
      </w:rPr>
      <mc:AlternateContent>
        <mc:Choice Requires="wps">
          <w:drawing>
            <wp:anchor distT="0" distB="0" distL="114300" distR="114300" simplePos="0" relativeHeight="251658240" behindDoc="0" locked="0" layoutInCell="1" allowOverlap="1" wp14:anchorId="66689925" wp14:editId="55C80CDD">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22B0FF70" id="Rectangle 247" o:spid="_x0000_s1026" style="position:absolute;margin-left:0;margin-top:0;width:579.9pt;height:750.3pt;z-index:25165824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sidR="008E7CDB">
      <w:rPr>
        <w:rFonts w:asciiTheme="majorHAnsi" w:eastAsiaTheme="majorEastAsia" w:hAnsiTheme="majorHAnsi" w:cstheme="majorBidi"/>
        <w:color w:val="4472C4" w:themeColor="accent1"/>
        <w:sz w:val="20"/>
        <w:szCs w:val="20"/>
      </w:rPr>
      <w:t xml:space="preserve"> </w:t>
    </w:r>
    <w:r w:rsidR="00484C4B" w:rsidRPr="00484C4B">
      <w:rPr>
        <w:rFonts w:asciiTheme="majorHAnsi" w:eastAsiaTheme="majorEastAsia" w:hAnsiTheme="majorHAnsi" w:cstheme="majorBidi"/>
        <w:color w:val="4472C4" w:themeColor="accent1"/>
        <w:sz w:val="20"/>
        <w:szCs w:val="20"/>
      </w:rPr>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96496C" w14:textId="77777777" w:rsidR="00297197" w:rsidRDefault="00297197" w:rsidP="002020F9">
      <w:pPr>
        <w:spacing w:after="0" w:line="240" w:lineRule="auto"/>
      </w:pPr>
      <w:r>
        <w:separator/>
      </w:r>
    </w:p>
  </w:footnote>
  <w:footnote w:type="continuationSeparator" w:id="0">
    <w:p w14:paraId="6886723C" w14:textId="77777777" w:rsidR="00297197" w:rsidRDefault="00297197"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51E8B" w14:textId="3CC46971" w:rsidR="00F550A4" w:rsidRDefault="00060013">
    <w:pPr>
      <w:pStyle w:val="En-tte"/>
    </w:pPr>
    <w:r>
      <w:rPr>
        <w:noProof/>
      </w:rPr>
      <mc:AlternateContent>
        <mc:Choice Requires="wps">
          <w:drawing>
            <wp:anchor distT="0" distB="0" distL="118745" distR="118745" simplePos="0" relativeHeight="251661312" behindDoc="1" locked="0" layoutInCell="1" allowOverlap="0" wp14:anchorId="560DE45F" wp14:editId="6DFF05EC">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0F526578" w14:textId="2A678E0E" w:rsidR="00060013" w:rsidRDefault="008E7CDB">
                              <w:pPr>
                                <w:pStyle w:val="En-tte"/>
                                <w:jc w:val="center"/>
                                <w:rPr>
                                  <w:caps/>
                                  <w:color w:val="FFFFFF" w:themeColor="background1"/>
                                </w:rPr>
                              </w:pPr>
                              <w:r>
                                <w:rPr>
                                  <w:caps/>
                                  <w:color w:val="FFFFFF" w:themeColor="background1"/>
                                </w:rPr>
                                <w:t>Chapitre 6 : De l’action sur le régime matrimonial dans une logique patrimoniale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560DE45F" id="Rectangle 200" o:spid="_x0000_s1026" style="position:absolute;left:0;text-align:left;margin-left:0;margin-top:0;width:468.5pt;height:21.3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0F526578" w14:textId="2A678E0E" w:rsidR="00060013" w:rsidRDefault="008E7CDB">
                        <w:pPr>
                          <w:pStyle w:val="En-tte"/>
                          <w:jc w:val="center"/>
                          <w:rPr>
                            <w:caps/>
                            <w:color w:val="FFFFFF" w:themeColor="background1"/>
                          </w:rPr>
                        </w:pPr>
                        <w:r>
                          <w:rPr>
                            <w:caps/>
                            <w:color w:val="FFFFFF" w:themeColor="background1"/>
                          </w:rPr>
                          <w:t>Chapitre 6 : De l’action sur le régime matrimonial dans une logique patrimoniale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22DF2"/>
    <w:multiLevelType w:val="multilevel"/>
    <w:tmpl w:val="B7861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08856F1"/>
    <w:multiLevelType w:val="hybridMultilevel"/>
    <w:tmpl w:val="67BE6BDE"/>
    <w:lvl w:ilvl="0" w:tplc="C254A078">
      <w:start w:val="1"/>
      <w:numFmt w:val="decimal"/>
      <w:pStyle w:val="Titre3"/>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214838"/>
    <w:multiLevelType w:val="multilevel"/>
    <w:tmpl w:val="9822E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29B6FAF"/>
    <w:multiLevelType w:val="multilevel"/>
    <w:tmpl w:val="CE7AB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2D532DB"/>
    <w:multiLevelType w:val="multilevel"/>
    <w:tmpl w:val="6F020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6C54259"/>
    <w:multiLevelType w:val="multilevel"/>
    <w:tmpl w:val="398E6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BA65EF5"/>
    <w:multiLevelType w:val="multilevel"/>
    <w:tmpl w:val="5D0E3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618135F"/>
    <w:multiLevelType w:val="multilevel"/>
    <w:tmpl w:val="A992C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292D8F"/>
    <w:multiLevelType w:val="multilevel"/>
    <w:tmpl w:val="0FCEB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54305A4"/>
    <w:multiLevelType w:val="multilevel"/>
    <w:tmpl w:val="2CDC6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E7B24B8"/>
    <w:multiLevelType w:val="hybridMultilevel"/>
    <w:tmpl w:val="D0981826"/>
    <w:lvl w:ilvl="0" w:tplc="DADCAACE">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2" w15:restartNumberingAfterBreak="0">
    <w:nsid w:val="42382933"/>
    <w:multiLevelType w:val="multilevel"/>
    <w:tmpl w:val="7B3E7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4314407"/>
    <w:multiLevelType w:val="multilevel"/>
    <w:tmpl w:val="78A82C74"/>
    <w:lvl w:ilvl="0">
      <w:start w:val="1"/>
      <w:numFmt w:val="upperRoman"/>
      <w:pStyle w:val="Titre2"/>
      <w:lvlText w:val="%1."/>
      <w:lvlJc w:val="right"/>
      <w:pPr>
        <w:ind w:left="1530" w:hanging="360"/>
      </w:pPr>
    </w:lvl>
    <w:lvl w:ilvl="1">
      <w:start w:val="1"/>
      <w:numFmt w:val="decimal"/>
      <w:lvlText w:val="%2."/>
      <w:lvlJc w:val="left"/>
      <w:pPr>
        <w:tabs>
          <w:tab w:val="num" w:pos="2250"/>
        </w:tabs>
        <w:ind w:left="2250" w:hanging="720"/>
      </w:pPr>
    </w:lvl>
    <w:lvl w:ilvl="2">
      <w:start w:val="1"/>
      <w:numFmt w:val="decimal"/>
      <w:lvlText w:val="%3."/>
      <w:lvlJc w:val="left"/>
      <w:pPr>
        <w:tabs>
          <w:tab w:val="num" w:pos="2970"/>
        </w:tabs>
        <w:ind w:left="2970" w:hanging="720"/>
      </w:pPr>
    </w:lvl>
    <w:lvl w:ilvl="3">
      <w:start w:val="1"/>
      <w:numFmt w:val="decimal"/>
      <w:lvlText w:val="%4."/>
      <w:lvlJc w:val="left"/>
      <w:pPr>
        <w:tabs>
          <w:tab w:val="num" w:pos="3690"/>
        </w:tabs>
        <w:ind w:left="3690" w:hanging="720"/>
      </w:pPr>
    </w:lvl>
    <w:lvl w:ilvl="4">
      <w:start w:val="1"/>
      <w:numFmt w:val="decimal"/>
      <w:lvlText w:val="%5."/>
      <w:lvlJc w:val="left"/>
      <w:pPr>
        <w:tabs>
          <w:tab w:val="num" w:pos="4410"/>
        </w:tabs>
        <w:ind w:left="4410" w:hanging="720"/>
      </w:pPr>
    </w:lvl>
    <w:lvl w:ilvl="5">
      <w:start w:val="1"/>
      <w:numFmt w:val="decimal"/>
      <w:lvlText w:val="%6."/>
      <w:lvlJc w:val="left"/>
      <w:pPr>
        <w:tabs>
          <w:tab w:val="num" w:pos="5130"/>
        </w:tabs>
        <w:ind w:left="5130" w:hanging="720"/>
      </w:pPr>
    </w:lvl>
    <w:lvl w:ilvl="6">
      <w:start w:val="1"/>
      <w:numFmt w:val="decimal"/>
      <w:lvlText w:val="%7."/>
      <w:lvlJc w:val="left"/>
      <w:pPr>
        <w:tabs>
          <w:tab w:val="num" w:pos="5850"/>
        </w:tabs>
        <w:ind w:left="5850" w:hanging="720"/>
      </w:pPr>
    </w:lvl>
    <w:lvl w:ilvl="7">
      <w:start w:val="1"/>
      <w:numFmt w:val="decimal"/>
      <w:lvlText w:val="%8."/>
      <w:lvlJc w:val="left"/>
      <w:pPr>
        <w:tabs>
          <w:tab w:val="num" w:pos="6570"/>
        </w:tabs>
        <w:ind w:left="6570" w:hanging="720"/>
      </w:pPr>
    </w:lvl>
    <w:lvl w:ilvl="8">
      <w:start w:val="1"/>
      <w:numFmt w:val="decimal"/>
      <w:lvlText w:val="%9."/>
      <w:lvlJc w:val="left"/>
      <w:pPr>
        <w:tabs>
          <w:tab w:val="num" w:pos="7290"/>
        </w:tabs>
        <w:ind w:left="7290" w:hanging="720"/>
      </w:pPr>
    </w:lvl>
  </w:abstractNum>
  <w:abstractNum w:abstractNumId="14" w15:restartNumberingAfterBreak="0">
    <w:nsid w:val="47FE2110"/>
    <w:multiLevelType w:val="multilevel"/>
    <w:tmpl w:val="261A3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1F851B6"/>
    <w:multiLevelType w:val="multilevel"/>
    <w:tmpl w:val="F5DEE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29D1A99"/>
    <w:multiLevelType w:val="multilevel"/>
    <w:tmpl w:val="2884A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503117D"/>
    <w:multiLevelType w:val="multilevel"/>
    <w:tmpl w:val="2B408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ECD1952"/>
    <w:multiLevelType w:val="multilevel"/>
    <w:tmpl w:val="08C26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9A101E2"/>
    <w:multiLevelType w:val="multilevel"/>
    <w:tmpl w:val="CDA0F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DD14B7A"/>
    <w:multiLevelType w:val="multilevel"/>
    <w:tmpl w:val="7A92B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1E12559"/>
    <w:multiLevelType w:val="multilevel"/>
    <w:tmpl w:val="E2C40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5191AFA"/>
    <w:multiLevelType w:val="multilevel"/>
    <w:tmpl w:val="1E74B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89963207">
    <w:abstractNumId w:val="13"/>
  </w:num>
  <w:num w:numId="2" w16cid:durableId="1108963721">
    <w:abstractNumId w:val="11"/>
  </w:num>
  <w:num w:numId="3" w16cid:durableId="644312531">
    <w:abstractNumId w:val="1"/>
  </w:num>
  <w:num w:numId="4" w16cid:durableId="260725316">
    <w:abstractNumId w:val="8"/>
  </w:num>
  <w:num w:numId="5" w16cid:durableId="1502157143">
    <w:abstractNumId w:val="12"/>
  </w:num>
  <w:num w:numId="6" w16cid:durableId="1134370662">
    <w:abstractNumId w:val="5"/>
  </w:num>
  <w:num w:numId="7" w16cid:durableId="297685165">
    <w:abstractNumId w:val="10"/>
  </w:num>
  <w:num w:numId="8" w16cid:durableId="62527707">
    <w:abstractNumId w:val="18"/>
  </w:num>
  <w:num w:numId="9" w16cid:durableId="420838361">
    <w:abstractNumId w:val="21"/>
  </w:num>
  <w:num w:numId="10" w16cid:durableId="392697748">
    <w:abstractNumId w:val="16"/>
  </w:num>
  <w:num w:numId="11" w16cid:durableId="1036083487">
    <w:abstractNumId w:val="1"/>
    <w:lvlOverride w:ilvl="0">
      <w:startOverride w:val="1"/>
    </w:lvlOverride>
  </w:num>
  <w:num w:numId="12" w16cid:durableId="342556839">
    <w:abstractNumId w:val="1"/>
    <w:lvlOverride w:ilvl="0">
      <w:startOverride w:val="1"/>
    </w:lvlOverride>
  </w:num>
  <w:num w:numId="13" w16cid:durableId="2040817716">
    <w:abstractNumId w:val="1"/>
    <w:lvlOverride w:ilvl="0">
      <w:startOverride w:val="1"/>
    </w:lvlOverride>
  </w:num>
  <w:num w:numId="14" w16cid:durableId="2089419543">
    <w:abstractNumId w:val="19"/>
  </w:num>
  <w:num w:numId="15" w16cid:durableId="1364869249">
    <w:abstractNumId w:val="7"/>
  </w:num>
  <w:num w:numId="16" w16cid:durableId="207492117">
    <w:abstractNumId w:val="0"/>
  </w:num>
  <w:num w:numId="17" w16cid:durableId="1633175119">
    <w:abstractNumId w:val="20"/>
  </w:num>
  <w:num w:numId="18" w16cid:durableId="838471345">
    <w:abstractNumId w:val="6"/>
  </w:num>
  <w:num w:numId="19" w16cid:durableId="397287893">
    <w:abstractNumId w:val="22"/>
  </w:num>
  <w:num w:numId="20" w16cid:durableId="479418551">
    <w:abstractNumId w:val="15"/>
  </w:num>
  <w:num w:numId="21" w16cid:durableId="1345547035">
    <w:abstractNumId w:val="17"/>
  </w:num>
  <w:num w:numId="22" w16cid:durableId="750086703">
    <w:abstractNumId w:val="3"/>
  </w:num>
  <w:num w:numId="23" w16cid:durableId="1081944744">
    <w:abstractNumId w:val="9"/>
  </w:num>
  <w:num w:numId="24" w16cid:durableId="156893497">
    <w:abstractNumId w:val="4"/>
  </w:num>
  <w:num w:numId="25" w16cid:durableId="2042170589">
    <w:abstractNumId w:val="14"/>
  </w:num>
  <w:num w:numId="26" w16cid:durableId="2099477767">
    <w:abstractNumId w:val="2"/>
  </w:num>
  <w:num w:numId="27" w16cid:durableId="1029916902">
    <w:abstractNumId w:val="1"/>
    <w:lvlOverride w:ilvl="0">
      <w:startOverride w:val="1"/>
    </w:lvlOverride>
  </w:num>
  <w:num w:numId="28" w16cid:durableId="253898047">
    <w:abstractNumId w:val="1"/>
    <w:lvlOverride w:ilvl="0">
      <w:startOverride w:val="1"/>
    </w:lvlOverride>
  </w:num>
  <w:num w:numId="29" w16cid:durableId="598026532">
    <w:abstractNumId w:val="1"/>
    <w:lvlOverride w:ilvl="0">
      <w:startOverride w:val="1"/>
    </w:lvlOverride>
  </w:num>
  <w:num w:numId="30" w16cid:durableId="342055808">
    <w:abstractNumId w:val="1"/>
    <w:lvlOverride w:ilvl="0">
      <w:startOverride w:val="1"/>
    </w:lvlOverride>
  </w:num>
  <w:num w:numId="31" w16cid:durableId="1586916986">
    <w:abstractNumId w:val="1"/>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349ED"/>
    <w:rsid w:val="00060013"/>
    <w:rsid w:val="00074CCE"/>
    <w:rsid w:val="00075E24"/>
    <w:rsid w:val="00085686"/>
    <w:rsid w:val="000C1FB4"/>
    <w:rsid w:val="000C2B3F"/>
    <w:rsid w:val="000C5F54"/>
    <w:rsid w:val="001525E5"/>
    <w:rsid w:val="001E58CB"/>
    <w:rsid w:val="00200B59"/>
    <w:rsid w:val="002020F9"/>
    <w:rsid w:val="00262DEC"/>
    <w:rsid w:val="002775A7"/>
    <w:rsid w:val="002863E1"/>
    <w:rsid w:val="00295E95"/>
    <w:rsid w:val="00297197"/>
    <w:rsid w:val="002E7C98"/>
    <w:rsid w:val="0030508E"/>
    <w:rsid w:val="00326184"/>
    <w:rsid w:val="0036727B"/>
    <w:rsid w:val="00484C4B"/>
    <w:rsid w:val="004C5E68"/>
    <w:rsid w:val="004C7943"/>
    <w:rsid w:val="004F1E48"/>
    <w:rsid w:val="004F7075"/>
    <w:rsid w:val="00552D7D"/>
    <w:rsid w:val="00563C2E"/>
    <w:rsid w:val="00566450"/>
    <w:rsid w:val="00566BDA"/>
    <w:rsid w:val="00593DBA"/>
    <w:rsid w:val="005941FD"/>
    <w:rsid w:val="005F0983"/>
    <w:rsid w:val="00624CAE"/>
    <w:rsid w:val="0062781F"/>
    <w:rsid w:val="00632514"/>
    <w:rsid w:val="006325C6"/>
    <w:rsid w:val="00677448"/>
    <w:rsid w:val="006B3121"/>
    <w:rsid w:val="006E2203"/>
    <w:rsid w:val="00780465"/>
    <w:rsid w:val="007A379E"/>
    <w:rsid w:val="00827401"/>
    <w:rsid w:val="00834AAF"/>
    <w:rsid w:val="008D272E"/>
    <w:rsid w:val="008E7CDB"/>
    <w:rsid w:val="00910D5B"/>
    <w:rsid w:val="00913774"/>
    <w:rsid w:val="00937625"/>
    <w:rsid w:val="00984F19"/>
    <w:rsid w:val="00A13493"/>
    <w:rsid w:val="00A7577F"/>
    <w:rsid w:val="00A87FD6"/>
    <w:rsid w:val="00AB5284"/>
    <w:rsid w:val="00AC4FFD"/>
    <w:rsid w:val="00AE443F"/>
    <w:rsid w:val="00B0501B"/>
    <w:rsid w:val="00B10D7C"/>
    <w:rsid w:val="00B10DE0"/>
    <w:rsid w:val="00B25AB9"/>
    <w:rsid w:val="00B34910"/>
    <w:rsid w:val="00B42117"/>
    <w:rsid w:val="00B5286C"/>
    <w:rsid w:val="00B630C8"/>
    <w:rsid w:val="00B75B22"/>
    <w:rsid w:val="00B8067C"/>
    <w:rsid w:val="00B81391"/>
    <w:rsid w:val="00BB4904"/>
    <w:rsid w:val="00BF4DAF"/>
    <w:rsid w:val="00BF7C89"/>
    <w:rsid w:val="00C10135"/>
    <w:rsid w:val="00C17D12"/>
    <w:rsid w:val="00C245BD"/>
    <w:rsid w:val="00C44C02"/>
    <w:rsid w:val="00C83889"/>
    <w:rsid w:val="00C86C18"/>
    <w:rsid w:val="00C955E2"/>
    <w:rsid w:val="00CC5221"/>
    <w:rsid w:val="00D208EF"/>
    <w:rsid w:val="00D30A3F"/>
    <w:rsid w:val="00D5574B"/>
    <w:rsid w:val="00D7312E"/>
    <w:rsid w:val="00D812F3"/>
    <w:rsid w:val="00DE3098"/>
    <w:rsid w:val="00E5566A"/>
    <w:rsid w:val="00E57CBB"/>
    <w:rsid w:val="00E678EF"/>
    <w:rsid w:val="00E83F13"/>
    <w:rsid w:val="00E93EBA"/>
    <w:rsid w:val="00E96BE2"/>
    <w:rsid w:val="00EB02FF"/>
    <w:rsid w:val="00EB0768"/>
    <w:rsid w:val="00EC652C"/>
    <w:rsid w:val="00ED4021"/>
    <w:rsid w:val="00F22A0B"/>
    <w:rsid w:val="00F550A4"/>
    <w:rsid w:val="00F84A1D"/>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5F1A359A-B0CB-4050-8E93-E4F63E866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0C1FB4"/>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4"/>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E5566A"/>
    <w:pPr>
      <w:keepNext/>
      <w:keepLines/>
      <w:numPr>
        <w:numId w:val="1"/>
      </w:numPr>
      <w:spacing w:after="0" w:line="600" w:lineRule="atLeast"/>
      <w:ind w:left="714" w:hanging="357"/>
      <w:contextualSpacing/>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0C1FB4"/>
    <w:pPr>
      <w:keepNext/>
      <w:keepLines/>
      <w:numPr>
        <w:numId w:val="3"/>
      </w:numPr>
      <w:shd w:val="clear" w:color="auto" w:fill="FFFFFF"/>
      <w:spacing w:after="0" w:line="675" w:lineRule="atLeast"/>
      <w:textAlignment w:val="baseline"/>
      <w:outlineLvl w:val="2"/>
    </w:pPr>
    <w:rPr>
      <w:rFonts w:eastAsia="Times New Roman"/>
      <w:b/>
      <w:color w:val="3A5D9C"/>
      <w:sz w:val="40"/>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E93EBA"/>
    <w:pPr>
      <w:keepNext/>
      <w:keepLines/>
      <w:numPr>
        <w:numId w:val="2"/>
      </w:numPr>
      <w:spacing w:before="280" w:after="240"/>
      <w:outlineLvl w:val="3"/>
    </w:pPr>
    <w:rPr>
      <w:rFonts w:eastAsiaTheme="majorEastAsia" w:cstheme="majorBidi"/>
      <w:b/>
      <w:iCs/>
      <w:color w:val="2F5496" w:themeColor="accent1" w:themeShade="BF"/>
      <w:sz w:val="36"/>
      <w:szCs w:val="24"/>
      <w:u w:val="single"/>
      <w:bdr w:val="none" w:sz="0" w:space="0" w:color="auto" w:frame="1"/>
    </w:rPr>
  </w:style>
  <w:style w:type="paragraph" w:styleId="Titre5">
    <w:name w:val="heading 5"/>
    <w:aliases w:val="Titre 5 CGPC"/>
    <w:basedOn w:val="CGPC-elearning"/>
    <w:next w:val="Normal"/>
    <w:link w:val="Titre5Car"/>
    <w:autoRedefine/>
    <w:uiPriority w:val="9"/>
    <w:unhideWhenUsed/>
    <w:qFormat/>
    <w:rsid w:val="00D7312E"/>
    <w:pPr>
      <w:keepNext/>
      <w:keepLines/>
      <w:tabs>
        <w:tab w:val="num" w:pos="720"/>
      </w:tabs>
      <w:spacing w:before="400" w:after="360"/>
      <w:ind w:left="1080" w:hanging="360"/>
      <w:outlineLvl w:val="4"/>
    </w:pPr>
    <w:rPr>
      <w:rFonts w:eastAsia="Times New Roman" w:cstheme="majorBidi"/>
      <w:b/>
      <w:i/>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E5566A"/>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E678EF"/>
    <w:pPr>
      <w:jc w:val="left"/>
    </w:pPr>
    <w:rPr>
      <w:rFonts w:cs="Open Sans"/>
      <w:bCs/>
      <w:kern w:val="2"/>
      <w:szCs w:val="36"/>
      <w14:ligatures w14:val="standardContextual"/>
    </w:rPr>
  </w:style>
  <w:style w:type="character" w:customStyle="1" w:styleId="CGPC-elearningCar">
    <w:name w:val="CGPC-elearning Car"/>
    <w:basedOn w:val="Policepardfaut"/>
    <w:link w:val="CGPC-elearning"/>
    <w:rsid w:val="00E678EF"/>
    <w:rPr>
      <w:rFonts w:ascii="Open Sans" w:hAnsi="Open Sans" w:cs="Open Sans"/>
      <w:bCs/>
      <w:sz w:val="24"/>
      <w:szCs w:val="36"/>
    </w:rPr>
  </w:style>
  <w:style w:type="character" w:customStyle="1" w:styleId="Titre3Car">
    <w:name w:val="Titre 3 Car"/>
    <w:aliases w:val="Titre 3 CGPC Car"/>
    <w:basedOn w:val="Policepardfaut"/>
    <w:link w:val="Titre3"/>
    <w:uiPriority w:val="9"/>
    <w:rsid w:val="000C1FB4"/>
    <w:rPr>
      <w:rFonts w:ascii="Open Sans" w:eastAsia="Times New Roman" w:hAnsi="Open Sans" w:cs="Open Sans"/>
      <w:b/>
      <w:bCs/>
      <w:color w:val="3A5D9C"/>
      <w:sz w:val="40"/>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E93EBA"/>
    <w:rPr>
      <w:rFonts w:ascii="Open Sans" w:eastAsiaTheme="majorEastAsia" w:hAnsi="Open Sans" w:cstheme="majorBidi"/>
      <w:b/>
      <w:bCs/>
      <w:iCs/>
      <w:color w:val="2F5496" w:themeColor="accent1" w:themeShade="BF"/>
      <w:sz w:val="36"/>
      <w:szCs w:val="24"/>
      <w:u w:val="single"/>
      <w:bdr w:val="none" w:sz="0" w:space="0" w:color="auto" w:frame="1"/>
    </w:rPr>
  </w:style>
  <w:style w:type="character" w:customStyle="1" w:styleId="Titre5Car">
    <w:name w:val="Titre 5 Car"/>
    <w:aliases w:val="Titre 5 CGPC Car"/>
    <w:basedOn w:val="Policepardfaut"/>
    <w:link w:val="Titre5"/>
    <w:uiPriority w:val="9"/>
    <w:rsid w:val="00D7312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Textedebulles">
    <w:name w:val="Balloon Text"/>
    <w:basedOn w:val="Normal"/>
    <w:link w:val="TextedebullesCar"/>
    <w:uiPriority w:val="99"/>
    <w:semiHidden/>
    <w:unhideWhenUsed/>
    <w:rsid w:val="00F84A1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84A1D"/>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Props1.xml><?xml version="1.0" encoding="utf-8"?>
<ds:datastoreItem xmlns:ds="http://schemas.openxmlformats.org/officeDocument/2006/customXml" ds:itemID="{A43F55D7-B5ED-4F22-96F0-C0DE659DA76A}">
  <ds:schemaRefs>
    <ds:schemaRef ds:uri="http://schemas.microsoft.com/sharepoint/v3/contenttype/forms"/>
  </ds:schemaRefs>
</ds:datastoreItem>
</file>

<file path=customXml/itemProps2.xml><?xml version="1.0" encoding="utf-8"?>
<ds:datastoreItem xmlns:ds="http://schemas.openxmlformats.org/officeDocument/2006/customXml" ds:itemID="{83F502BC-AE6D-4D0C-9AD8-91C7E42CC7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4897299-4AD4-49F1-B5C7-7BBCB6E07EFF}">
  <ds:schemaRefs>
    <ds:schemaRef ds:uri="http://schemas.openxmlformats.org/officeDocument/2006/bibliography"/>
  </ds:schemaRefs>
</ds:datastoreItem>
</file>

<file path=customXml/itemProps4.xml><?xml version="1.0" encoding="utf-8"?>
<ds:datastoreItem xmlns:ds="http://schemas.openxmlformats.org/officeDocument/2006/customXml" ds:itemID="{1964698F-CF29-45F7-9A7A-D83140636126}">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1220</Words>
  <Characters>6713</Characters>
  <Application>Microsoft Office Word</Application>
  <DocSecurity>0</DocSecurity>
  <Lines>55</Lines>
  <Paragraphs>15</Paragraphs>
  <ScaleCrop>false</ScaleCrop>
  <HeadingPairs>
    <vt:vector size="2" baseType="variant">
      <vt:variant>
        <vt:lpstr>Titre</vt:lpstr>
      </vt:variant>
      <vt:variant>
        <vt:i4>1</vt:i4>
      </vt:variant>
    </vt:vector>
  </HeadingPairs>
  <TitlesOfParts>
    <vt:vector size="1" baseType="lpstr">
      <vt:lpstr>Chapitre 6</vt:lpstr>
    </vt:vector>
  </TitlesOfParts>
  <Company>CGPC – membre DE FPSB</Company>
  <LinksUpToDate>false</LinksUpToDate>
  <CharactersWithSpaces>7918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6 : De l’action sur le régime matrimonial dans une logique patrimoniale</dc:title>
  <dc:subject>De l’action sur le régime matrimonial dans une logique patrimoniale</dc:subject>
  <dc:creator>Renaud Duval</dc:creator>
  <cp:lastModifiedBy>Raymond Leban</cp:lastModifiedBy>
  <cp:revision>23</cp:revision>
  <cp:lastPrinted>2024-01-11T10:06:00Z</cp:lastPrinted>
  <dcterms:created xsi:type="dcterms:W3CDTF">2024-03-03T14:18:00Z</dcterms:created>
  <dcterms:modified xsi:type="dcterms:W3CDTF">2026-01-30T15:34:00Z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